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FB" w:rsidRDefault="00526FFB" w:rsidP="00526FFB">
      <w:pPr>
        <w:pStyle w:val="t-9-8"/>
        <w:spacing w:before="120" w:beforeAutospacing="0" w:after="120"/>
        <w:jc w:val="right"/>
      </w:pPr>
      <w:r>
        <w:t>PRILOG</w:t>
      </w:r>
    </w:p>
    <w:p w:rsidR="00A313F1" w:rsidRDefault="00526FFB" w:rsidP="00526FFB">
      <w:pPr>
        <w:pStyle w:val="t-9-8"/>
        <w:spacing w:before="120" w:beforeAutospacing="0" w:after="120"/>
        <w:jc w:val="both"/>
        <w:rPr>
          <w:i/>
          <w:caps/>
          <w:lang w:eastAsia="en-US"/>
        </w:rPr>
      </w:pPr>
      <w:r w:rsidRPr="00095DE8">
        <w:rPr>
          <w:i/>
          <w:caps/>
          <w:lang w:eastAsia="en-US"/>
        </w:rPr>
        <w:t xml:space="preserve">Smjernica o vođenju </w:t>
      </w:r>
      <w:r w:rsidR="00625F19" w:rsidRPr="00625F19">
        <w:rPr>
          <w:i/>
          <w:caps/>
          <w:lang w:eastAsia="en-US"/>
        </w:rPr>
        <w:t>ulazn</w:t>
      </w:r>
      <w:r w:rsidR="00A313F1">
        <w:rPr>
          <w:i/>
          <w:caps/>
          <w:lang w:eastAsia="en-US"/>
        </w:rPr>
        <w:t>IH</w:t>
      </w:r>
      <w:r w:rsidR="00625F19" w:rsidRPr="00625F19">
        <w:rPr>
          <w:i/>
          <w:caps/>
          <w:lang w:eastAsia="en-US"/>
        </w:rPr>
        <w:t xml:space="preserve"> i izlazn</w:t>
      </w:r>
      <w:r w:rsidR="00A313F1">
        <w:rPr>
          <w:i/>
          <w:caps/>
          <w:lang w:eastAsia="en-US"/>
        </w:rPr>
        <w:t>IH</w:t>
      </w:r>
      <w:r w:rsidR="00625F19" w:rsidRPr="00625F19">
        <w:rPr>
          <w:i/>
          <w:caps/>
          <w:lang w:eastAsia="en-US"/>
        </w:rPr>
        <w:t xml:space="preserve"> regist</w:t>
      </w:r>
      <w:r w:rsidR="00A313F1">
        <w:rPr>
          <w:i/>
          <w:caps/>
          <w:lang w:eastAsia="en-US"/>
        </w:rPr>
        <w:t>A</w:t>
      </w:r>
      <w:r w:rsidR="00625F19" w:rsidRPr="00625F19">
        <w:rPr>
          <w:i/>
          <w:caps/>
          <w:lang w:eastAsia="en-US"/>
        </w:rPr>
        <w:t>r</w:t>
      </w:r>
      <w:r w:rsidR="00A313F1">
        <w:rPr>
          <w:i/>
          <w:caps/>
          <w:lang w:eastAsia="en-US"/>
        </w:rPr>
        <w:t>A</w:t>
      </w:r>
      <w:r w:rsidR="00625F19" w:rsidRPr="00625F19">
        <w:rPr>
          <w:i/>
          <w:caps/>
          <w:lang w:eastAsia="en-US"/>
        </w:rPr>
        <w:t xml:space="preserve"> </w:t>
      </w:r>
    </w:p>
    <w:p w:rsidR="00526FFB" w:rsidRPr="00095DE8" w:rsidRDefault="00A313F1" w:rsidP="00526FFB">
      <w:pPr>
        <w:pStyle w:val="t-9-8"/>
        <w:spacing w:before="120" w:beforeAutospacing="0" w:after="120"/>
        <w:jc w:val="both"/>
        <w:rPr>
          <w:i/>
          <w:caps/>
          <w:lang w:eastAsia="en-US"/>
        </w:rPr>
      </w:pPr>
      <w:r>
        <w:rPr>
          <w:i/>
          <w:caps/>
          <w:lang w:eastAsia="en-US"/>
        </w:rPr>
        <w:t xml:space="preserve">- </w:t>
      </w:r>
      <w:r w:rsidR="00625F19">
        <w:rPr>
          <w:i/>
          <w:caps/>
          <w:lang w:eastAsia="en-US"/>
        </w:rPr>
        <w:t>(</w:t>
      </w:r>
      <w:r w:rsidR="00526FFB" w:rsidRPr="00095DE8">
        <w:rPr>
          <w:i/>
          <w:caps/>
          <w:lang w:eastAsia="en-US"/>
        </w:rPr>
        <w:t>podrumske evidencije</w:t>
      </w:r>
      <w:r w:rsidR="00625F19">
        <w:rPr>
          <w:i/>
          <w:caps/>
          <w:lang w:eastAsia="en-US"/>
        </w:rPr>
        <w:t>)</w:t>
      </w:r>
      <w:r w:rsidR="00526FFB" w:rsidRPr="00095DE8">
        <w:rPr>
          <w:i/>
          <w:caps/>
          <w:lang w:eastAsia="en-US"/>
        </w:rPr>
        <w:t xml:space="preserve">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095DE8">
        <w:rPr>
          <w:i/>
        </w:rPr>
        <w:t xml:space="preserve">Sve fizičke ili pravne osobe koje drže proizvode od grožđa i vina u bilo kakve poslovne ili komercijalne svrhe trebaju, </w:t>
      </w:r>
      <w:r>
        <w:rPr>
          <w:i/>
        </w:rPr>
        <w:t>prema članku 29. Zakona o vinu (NN 32/2019)</w:t>
      </w:r>
      <w:r w:rsidR="00625F19">
        <w:rPr>
          <w:i/>
        </w:rPr>
        <w:t xml:space="preserve"> </w:t>
      </w:r>
      <w:r w:rsidR="00625F19" w:rsidRPr="00625F19">
        <w:rPr>
          <w:i/>
        </w:rPr>
        <w:t>voditi ulazne i izlazne registre</w:t>
      </w:r>
      <w:r>
        <w:rPr>
          <w:i/>
        </w:rPr>
        <w:t>.</w:t>
      </w:r>
      <w:r w:rsidR="00625F19">
        <w:rPr>
          <w:i/>
        </w:rPr>
        <w:t xml:space="preserve">  </w:t>
      </w:r>
      <w:r w:rsidRPr="001D02E5">
        <w:rPr>
          <w:i/>
        </w:rPr>
        <w:t>Fizičke ili pravne osobe koje drže vinske proizvode u poslovne ili komercijalne svrhe, a posebno proizvođači grožđa, proizvođači vina, prerađivači, punitelji boca i trgovci moraju za te proizvode voditi ulazne i izlazne registre (u daljnjem tekstu: registri) u skladu s člancima 28. i 29. Delegirane uredbe Komisije (EU) 2018/273 i poglavljem IV. Provedbene uredbe Komisije (EU) 2018/274.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FFB" w:rsidTr="00A7157C">
        <w:tc>
          <w:tcPr>
            <w:tcW w:w="9062" w:type="dxa"/>
            <w:gridSpan w:val="2"/>
          </w:tcPr>
          <w:p w:rsidR="00526FFB" w:rsidRPr="001D02E5" w:rsidRDefault="00526FFB" w:rsidP="00526FFB">
            <w:pPr>
              <w:pStyle w:val="box460056"/>
              <w:spacing w:before="120" w:beforeAutospacing="0" w:after="0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 xml:space="preserve">Ulazni i izlazni registri </w:t>
            </w:r>
            <w:r>
              <w:rPr>
                <w:rFonts w:eastAsiaTheme="minorHAnsi"/>
                <w:i/>
              </w:rPr>
              <w:t xml:space="preserve">vode se za </w:t>
            </w:r>
            <w:r w:rsidRPr="001D02E5">
              <w:rPr>
                <w:rFonts w:eastAsiaTheme="minorHAnsi"/>
                <w:i/>
              </w:rPr>
              <w:t>sljedeće kategorije proizvoda od grožđa, mošta i vina:</w:t>
            </w:r>
          </w:p>
        </w:tc>
      </w:tr>
      <w:tr w:rsidR="00526FFB" w:rsidTr="00A7157C">
        <w:tc>
          <w:tcPr>
            <w:tcW w:w="4531" w:type="dxa"/>
          </w:tcPr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vino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mlado vino u fermentaciji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likersko vino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pjenušavo vino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kvalitetno pjenušavo vino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kvalitetno aromatično pjenušavo vino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gazirano pjenušavo vino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biser vino</w:t>
            </w:r>
          </w:p>
          <w:p w:rsidR="00526FFB" w:rsidRDefault="00526FFB" w:rsidP="00526FFB">
            <w:pPr>
              <w:pStyle w:val="box460056"/>
              <w:spacing w:before="120" w:beforeAutospacing="0" w:after="0"/>
              <w:jc w:val="both"/>
              <w:rPr>
                <w:rFonts w:ascii="Calibri" w:hAnsi="Calibri" w:cs="Calibri"/>
                <w:color w:val="666666"/>
                <w:sz w:val="21"/>
                <w:szCs w:val="21"/>
              </w:rPr>
            </w:pPr>
            <w:r w:rsidRPr="001D02E5">
              <w:rPr>
                <w:rFonts w:eastAsiaTheme="minorHAnsi"/>
                <w:i/>
              </w:rPr>
              <w:t>– gazirano biser vino</w:t>
            </w:r>
          </w:p>
        </w:tc>
        <w:tc>
          <w:tcPr>
            <w:tcW w:w="4531" w:type="dxa"/>
          </w:tcPr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mošt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djelomično fermentirani mošt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djelomično fermentirani mošt ekstrahiran iz prosušenog grožđa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koncentrirani mošt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rektificirani koncentrirani mošt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vino od prosušenog grožđa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vino od prezrelog grožđa i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vinski ocat.</w:t>
            </w:r>
          </w:p>
        </w:tc>
      </w:tr>
      <w:tr w:rsidR="00526FFB" w:rsidTr="00A7157C">
        <w:tc>
          <w:tcPr>
            <w:tcW w:w="9062" w:type="dxa"/>
            <w:gridSpan w:val="2"/>
          </w:tcPr>
          <w:p w:rsidR="00526FFB" w:rsidRPr="001D02E5" w:rsidRDefault="00526FFB" w:rsidP="00526FFB">
            <w:pPr>
              <w:pStyle w:val="box460056"/>
              <w:spacing w:before="120" w:beforeAutospacing="0" w:after="0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Obveznici vođenja registra članka vode i evidencije ulaza i izlaza grožđa, mošta i vina.</w:t>
            </w:r>
          </w:p>
        </w:tc>
      </w:tr>
      <w:tr w:rsidR="00526FFB" w:rsidTr="00A7157C">
        <w:tc>
          <w:tcPr>
            <w:tcW w:w="9062" w:type="dxa"/>
            <w:gridSpan w:val="2"/>
          </w:tcPr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U vođenju ulaznog i izlaznog registra kod kategorija proizvoda uzimaju se u obzir: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gubitci do kojih dolazi prilikom skladištenja, zbog isparavanja ili postupaka prerade te zbog postupaka u promjenama kategorije proizvoda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osobna potrošnja proizvođača i njegove obitelji i</w:t>
            </w:r>
          </w:p>
          <w:p w:rsidR="00526FFB" w:rsidRPr="001D02E5" w:rsidRDefault="00526FFB" w:rsidP="00526FFB">
            <w:pPr>
              <w:pStyle w:val="box460056"/>
              <w:spacing w:before="120" w:beforeAutospacing="0" w:after="0"/>
              <w:rPr>
                <w:rFonts w:eastAsiaTheme="minorHAnsi"/>
                <w:i/>
              </w:rPr>
            </w:pPr>
            <w:r w:rsidRPr="001D02E5">
              <w:rPr>
                <w:rFonts w:eastAsiaTheme="minorHAnsi"/>
                <w:i/>
              </w:rPr>
              <w:t>– moguće slučajne promjene količine proizvoda.</w:t>
            </w:r>
          </w:p>
        </w:tc>
      </w:tr>
      <w:tr w:rsidR="00526FFB" w:rsidTr="00A7157C">
        <w:tc>
          <w:tcPr>
            <w:tcW w:w="9062" w:type="dxa"/>
            <w:gridSpan w:val="2"/>
          </w:tcPr>
          <w:p w:rsidR="00526FFB" w:rsidRPr="001D02E5" w:rsidRDefault="00526FFB" w:rsidP="00526FFB">
            <w:pPr>
              <w:pStyle w:val="box460056"/>
              <w:spacing w:before="120" w:beforeAutospacing="0" w:after="0"/>
              <w:jc w:val="both"/>
              <w:rPr>
                <w:rFonts w:eastAsiaTheme="minorHAnsi"/>
                <w:i/>
              </w:rPr>
            </w:pPr>
            <w:r w:rsidRPr="000E6EA7">
              <w:rPr>
                <w:rFonts w:eastAsiaTheme="minorHAnsi"/>
                <w:i/>
                <w:color w:val="FF0000"/>
              </w:rPr>
              <w:t>Obveznici vođenja ulaznog i izlaznog registra iz stavka 1. ovoga članka moraju ulazni i izlazni registar te dokumente o postupcima koji su u njima zabilježeni čuvati najmanje pet godina nakon zatvaranja računa na koje se odnose.</w:t>
            </w:r>
          </w:p>
        </w:tc>
      </w:tr>
    </w:tbl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1060F9">
        <w:rPr>
          <w:i/>
        </w:rPr>
        <w:t>Pravilnik o registru vinograda, obveznim izjavama, pratećim dokumentima, podrumskoj evidenciji i proizvodnom potencijalu</w:t>
      </w:r>
      <w:r>
        <w:rPr>
          <w:i/>
        </w:rPr>
        <w:t xml:space="preserve"> (NN 48/2014, 83/14, 147/14, 110/16 i 127/17) propisuje detalj</w:t>
      </w:r>
      <w:r w:rsidR="00A313F1">
        <w:rPr>
          <w:i/>
        </w:rPr>
        <w:t>e koji se</w:t>
      </w:r>
      <w:r>
        <w:rPr>
          <w:i/>
        </w:rPr>
        <w:t xml:space="preserve"> vo</w:t>
      </w:r>
      <w:r w:rsidR="00A313F1">
        <w:rPr>
          <w:i/>
        </w:rPr>
        <w:t xml:space="preserve">de </w:t>
      </w:r>
      <w:r>
        <w:rPr>
          <w:i/>
        </w:rPr>
        <w:t xml:space="preserve">u </w:t>
      </w:r>
      <w:r w:rsidRPr="00625F19">
        <w:rPr>
          <w:i/>
          <w:u w:val="single"/>
        </w:rPr>
        <w:t>podrumsk</w:t>
      </w:r>
      <w:r w:rsidR="00A313F1">
        <w:rPr>
          <w:i/>
          <w:u w:val="single"/>
        </w:rPr>
        <w:t>oj</w:t>
      </w:r>
      <w:r w:rsidRPr="00625F19">
        <w:rPr>
          <w:i/>
          <w:u w:val="single"/>
        </w:rPr>
        <w:t xml:space="preserve"> evidencij</w:t>
      </w:r>
      <w:r w:rsidR="00A313F1">
        <w:rPr>
          <w:i/>
          <w:u w:val="single"/>
        </w:rPr>
        <w:t>i</w:t>
      </w:r>
      <w:r w:rsidRPr="00625F19">
        <w:rPr>
          <w:i/>
          <w:u w:val="single"/>
        </w:rPr>
        <w:t xml:space="preserve"> ulaza i izlaza vinskih proizvoda</w:t>
      </w:r>
      <w:r w:rsidRPr="00095DE8">
        <w:rPr>
          <w:i/>
        </w:rPr>
        <w:t>.</w:t>
      </w:r>
    </w:p>
    <w:p w:rsidR="00625F19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095DE8">
        <w:rPr>
          <w:i/>
        </w:rPr>
        <w:t xml:space="preserve">U </w:t>
      </w:r>
      <w:r w:rsidRPr="00625F19">
        <w:rPr>
          <w:i/>
          <w:u w:val="single"/>
        </w:rPr>
        <w:t>podrumskoj evidenciji</w:t>
      </w:r>
      <w:r w:rsidRPr="00095DE8">
        <w:rPr>
          <w:i/>
        </w:rPr>
        <w:t xml:space="preserve"> bilježe se količine svake serije proizvoda te svi postupci navedeni u Pravilniku. Navedene osobe moraju imati i dokument koji je pratio pošiljku ili bilo koji drugi komercijalni dokument, za svaki unos ulaznih i izlaznih količina proizvoda (npr. račun za kupljeno grožđe, račun za prodano vino i sl.). Podrumska evidencija vodi se odvojeno za svaki objekt u kojemu se drže proizvodi od grožđa i vino.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095DE8">
        <w:rPr>
          <w:i/>
        </w:rPr>
        <w:t xml:space="preserve">Podrumska evidencija vodi se u pisanom obliku, i to elektronički ili na fiksnim, brojevima uzastopno označenim, listovima (knjiga podrumske evidencije s numeriranim stranicama).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095DE8">
        <w:rPr>
          <w:i/>
        </w:rPr>
        <w:lastRenderedPageBreak/>
        <w:t xml:space="preserve">Proizvodi koji se unose u podrumsku evidenciju vode se odvojeno, i to: </w:t>
      </w:r>
    </w:p>
    <w:p w:rsidR="00526FFB" w:rsidRDefault="00526FFB" w:rsidP="00526FFB">
      <w:pPr>
        <w:pStyle w:val="t-9-8"/>
        <w:numPr>
          <w:ilvl w:val="0"/>
          <w:numId w:val="1"/>
        </w:numPr>
        <w:spacing w:before="120" w:beforeAutospacing="0" w:after="120"/>
        <w:jc w:val="both"/>
        <w:rPr>
          <w:i/>
        </w:rPr>
      </w:pPr>
      <w:r w:rsidRPr="00095DE8">
        <w:rPr>
          <w:i/>
        </w:rPr>
        <w:t xml:space="preserve">za svaku </w:t>
      </w:r>
      <w:r w:rsidRPr="00A313F1">
        <w:rPr>
          <w:i/>
        </w:rPr>
        <w:t>kategoriju</w:t>
      </w:r>
      <w:r w:rsidRPr="00095DE8">
        <w:rPr>
          <w:i/>
        </w:rPr>
        <w:t xml:space="preserve"> proizvoda od grožđa i vina (</w:t>
      </w:r>
      <w:r>
        <w:rPr>
          <w:i/>
        </w:rPr>
        <w:t xml:space="preserve">prema kategorijama iz Zakona, </w:t>
      </w:r>
      <w:r w:rsidRPr="00095DE8">
        <w:rPr>
          <w:i/>
        </w:rPr>
        <w:t xml:space="preserve">vino, </w:t>
      </w:r>
      <w:r>
        <w:rPr>
          <w:i/>
        </w:rPr>
        <w:t xml:space="preserve">mlado vino, </w:t>
      </w:r>
      <w:r w:rsidRPr="00095DE8">
        <w:rPr>
          <w:i/>
        </w:rPr>
        <w:t>likersko vino, pjenušavo vino, mošt i sl.);</w:t>
      </w:r>
    </w:p>
    <w:p w:rsidR="00526FFB" w:rsidRDefault="00526FFB" w:rsidP="00526FFB">
      <w:pPr>
        <w:pStyle w:val="t-9-8"/>
        <w:numPr>
          <w:ilvl w:val="0"/>
          <w:numId w:val="1"/>
        </w:numPr>
        <w:spacing w:before="120" w:beforeAutospacing="0" w:after="120"/>
        <w:jc w:val="both"/>
        <w:rPr>
          <w:i/>
        </w:rPr>
      </w:pPr>
      <w:r w:rsidRPr="00095DE8">
        <w:rPr>
          <w:i/>
        </w:rPr>
        <w:t xml:space="preserve">za svako vino sa zaštićenom oznakom izvornosti i </w:t>
      </w:r>
    </w:p>
    <w:p w:rsidR="00526FFB" w:rsidRPr="00095DE8" w:rsidRDefault="00526FFB" w:rsidP="00526FFB">
      <w:pPr>
        <w:pStyle w:val="t-9-8"/>
        <w:numPr>
          <w:ilvl w:val="0"/>
          <w:numId w:val="1"/>
        </w:numPr>
        <w:spacing w:before="120" w:beforeAutospacing="0" w:after="120"/>
        <w:jc w:val="both"/>
        <w:rPr>
          <w:i/>
        </w:rPr>
      </w:pPr>
      <w:r w:rsidRPr="00095DE8">
        <w:rPr>
          <w:i/>
        </w:rPr>
        <w:t>za proizvode namijenjene preradi u takvo vino (stolno vino, kvalitetno vino s kontroliranim zemljopisnim podrijetlom i sl.).</w:t>
      </w:r>
    </w:p>
    <w:p w:rsidR="00A313F1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095DE8">
        <w:rPr>
          <w:i/>
        </w:rPr>
        <w:t>Podaci koji se upisuju u podrumske evidencije</w:t>
      </w:r>
      <w:r>
        <w:rPr>
          <w:i/>
        </w:rPr>
        <w:t xml:space="preserve">:  </w:t>
      </w:r>
      <w:r w:rsidRPr="00095DE8">
        <w:rPr>
          <w:i/>
        </w:rPr>
        <w:t xml:space="preserve"> </w:t>
      </w:r>
      <w:r>
        <w:rPr>
          <w:i/>
        </w:rPr>
        <w:t>z</w:t>
      </w:r>
      <w:r w:rsidRPr="00095DE8">
        <w:rPr>
          <w:i/>
        </w:rPr>
        <w:t xml:space="preserve">a svaki ulaz i izlaz proizvoda upisuju se datum postupka; stvarna količina koja je ušla ili izašla, izražena u kilogramima ili litrama; proizvod o kojemu je riječ; upućivanje na dokument koji prati ili je pratio pošiljku o kojoj je riječ. </w:t>
      </w:r>
    </w:p>
    <w:p w:rsidR="00A313F1" w:rsidRDefault="00A313F1" w:rsidP="00526FFB">
      <w:pPr>
        <w:pStyle w:val="t-9-8"/>
        <w:spacing w:before="120" w:beforeAutospacing="0" w:after="120"/>
        <w:jc w:val="both"/>
        <w:rPr>
          <w:i/>
        </w:rPr>
      </w:pPr>
      <w:r>
        <w:rPr>
          <w:i/>
        </w:rPr>
        <w:t>U</w:t>
      </w:r>
      <w:r w:rsidR="00526FFB" w:rsidRPr="00095DE8">
        <w:rPr>
          <w:i/>
        </w:rPr>
        <w:t xml:space="preserve"> podrumsku evidenciju upisuju se i spremnici za skladištenje proizvoda i njihov nominalni obujam. Za spremnike od 600 litara ili manje, koji su napunjeni istim proizvodom i uskladišteni u istoj seriji, može se označiti serija kao cjelina, a ne pojedinačni spremnici, s tim da serije moraju biti međusobno jasno odvojene. Postupci koji se navode u podrumskim evidencijama Upisuju se svi postupci koji se provode na proizvodima od grožđa i vina. </w:t>
      </w:r>
    </w:p>
    <w:p w:rsidR="00526FFB" w:rsidRPr="00095DE8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095DE8">
        <w:rPr>
          <w:i/>
        </w:rPr>
        <w:t xml:space="preserve">Obavezno se upisuju: povećanje alkoholne jakosti; </w:t>
      </w:r>
      <w:proofErr w:type="spellStart"/>
      <w:r w:rsidRPr="00095DE8">
        <w:rPr>
          <w:i/>
        </w:rPr>
        <w:t>dokiseljavanje</w:t>
      </w:r>
      <w:proofErr w:type="spellEnd"/>
      <w:r w:rsidRPr="00095DE8">
        <w:rPr>
          <w:i/>
        </w:rPr>
        <w:t xml:space="preserve">; </w:t>
      </w:r>
      <w:proofErr w:type="spellStart"/>
      <w:r w:rsidRPr="00095DE8">
        <w:rPr>
          <w:i/>
        </w:rPr>
        <w:t>otkiseljavanje</w:t>
      </w:r>
      <w:proofErr w:type="spellEnd"/>
      <w:r w:rsidRPr="00095DE8">
        <w:rPr>
          <w:i/>
        </w:rPr>
        <w:t xml:space="preserve">; </w:t>
      </w:r>
      <w:proofErr w:type="spellStart"/>
      <w:r w:rsidRPr="00095DE8">
        <w:rPr>
          <w:i/>
        </w:rPr>
        <w:t>doslađivanje</w:t>
      </w:r>
      <w:proofErr w:type="spellEnd"/>
      <w:r w:rsidRPr="00095DE8">
        <w:rPr>
          <w:i/>
        </w:rPr>
        <w:t xml:space="preserve">; miješanje i/ili </w:t>
      </w:r>
      <w:proofErr w:type="spellStart"/>
      <w:r w:rsidRPr="00095DE8">
        <w:rPr>
          <w:i/>
        </w:rPr>
        <w:t>kupažiranje</w:t>
      </w:r>
      <w:proofErr w:type="spellEnd"/>
      <w:r w:rsidRPr="00095DE8">
        <w:rPr>
          <w:i/>
        </w:rPr>
        <w:t xml:space="preserve">; punjenje u boce; destilacija; proizvodnja svih kategorija pjenušavog vina, biser vina i gaziranog vina; proizvodnja likerskoga vina; proizvodnja koncentriranog mošta, </w:t>
      </w:r>
      <w:proofErr w:type="spellStart"/>
      <w:r w:rsidRPr="00095DE8">
        <w:rPr>
          <w:i/>
        </w:rPr>
        <w:t>rektificiranog</w:t>
      </w:r>
      <w:proofErr w:type="spellEnd"/>
      <w:r w:rsidRPr="00095DE8">
        <w:rPr>
          <w:i/>
        </w:rPr>
        <w:t xml:space="preserve"> ili </w:t>
      </w:r>
      <w:proofErr w:type="spellStart"/>
      <w:r w:rsidRPr="00095DE8">
        <w:rPr>
          <w:i/>
        </w:rPr>
        <w:t>nerektificir</w:t>
      </w:r>
      <w:proofErr w:type="spellEnd"/>
      <w:r w:rsidRPr="00095DE8">
        <w:rPr>
          <w:i/>
        </w:rPr>
        <w:t xml:space="preserve">- </w:t>
      </w:r>
      <w:proofErr w:type="spellStart"/>
      <w:r w:rsidRPr="00095DE8">
        <w:rPr>
          <w:i/>
        </w:rPr>
        <w:t>anog</w:t>
      </w:r>
      <w:proofErr w:type="spellEnd"/>
      <w:r w:rsidRPr="00095DE8">
        <w:rPr>
          <w:i/>
        </w:rPr>
        <w:t xml:space="preserve">; obrada ugljenom za enološku upotrebu; tretiranje kalijevim </w:t>
      </w:r>
      <w:proofErr w:type="spellStart"/>
      <w:r w:rsidRPr="00095DE8">
        <w:rPr>
          <w:i/>
        </w:rPr>
        <w:t>ferocijanidom</w:t>
      </w:r>
      <w:proofErr w:type="spellEnd"/>
      <w:r w:rsidRPr="00095DE8">
        <w:rPr>
          <w:i/>
        </w:rPr>
        <w:t xml:space="preserve">; pojačavanje vina za destilaciju; ostali postupci koji uključuju dodavanje alkohola; prerada u proizvod bilo koje kate- </w:t>
      </w:r>
      <w:proofErr w:type="spellStart"/>
      <w:r w:rsidRPr="00095DE8">
        <w:rPr>
          <w:i/>
        </w:rPr>
        <w:t>gorije</w:t>
      </w:r>
      <w:proofErr w:type="spellEnd"/>
      <w:r w:rsidRPr="00095DE8">
        <w:rPr>
          <w:i/>
        </w:rPr>
        <w:t xml:space="preserve">, ponajprije u aromatizirano vino; </w:t>
      </w:r>
      <w:proofErr w:type="spellStart"/>
      <w:r w:rsidRPr="00095DE8">
        <w:rPr>
          <w:i/>
        </w:rPr>
        <w:t>elektrodijaliza</w:t>
      </w:r>
      <w:proofErr w:type="spellEnd"/>
      <w:r w:rsidRPr="00095DE8">
        <w:rPr>
          <w:i/>
        </w:rPr>
        <w:t xml:space="preserve"> ili tretiranje ionskim izmjenjivačima zbog stabilizacije </w:t>
      </w:r>
      <w:proofErr w:type="spellStart"/>
      <w:r w:rsidRPr="00095DE8">
        <w:rPr>
          <w:i/>
        </w:rPr>
        <w:t>tartarata</w:t>
      </w:r>
      <w:proofErr w:type="spellEnd"/>
      <w:r w:rsidRPr="00095DE8">
        <w:rPr>
          <w:i/>
        </w:rPr>
        <w:t xml:space="preserve">; dodavanje </w:t>
      </w:r>
      <w:proofErr w:type="spellStart"/>
      <w:r w:rsidRPr="00095DE8">
        <w:rPr>
          <w:i/>
        </w:rPr>
        <w:t>dimetil-dikarbonata</w:t>
      </w:r>
      <w:proofErr w:type="spellEnd"/>
      <w:r w:rsidRPr="00095DE8">
        <w:rPr>
          <w:i/>
        </w:rPr>
        <w:t xml:space="preserve"> (DMDC) vinu; upotreba hrastovog „čipsa“ u proizvodnji vina; djelomično </w:t>
      </w:r>
      <w:proofErr w:type="spellStart"/>
      <w:r w:rsidRPr="00095DE8">
        <w:rPr>
          <w:i/>
        </w:rPr>
        <w:t>dealkoholiziranje</w:t>
      </w:r>
      <w:proofErr w:type="spellEnd"/>
      <w:r w:rsidRPr="00095DE8">
        <w:rPr>
          <w:i/>
        </w:rPr>
        <w:t xml:space="preserve"> vina; bistren- je jestivom želatinom, biljnim proteinima pšenice ili graška, ribljim mjehurom, kazeinom i kalij-</w:t>
      </w:r>
      <w:proofErr w:type="spellStart"/>
      <w:r w:rsidRPr="00095DE8">
        <w:rPr>
          <w:i/>
        </w:rPr>
        <w:t>kazeinatom</w:t>
      </w:r>
      <w:proofErr w:type="spellEnd"/>
      <w:r w:rsidRPr="00095DE8">
        <w:rPr>
          <w:i/>
        </w:rPr>
        <w:t xml:space="preserve">; dodavanje </w:t>
      </w:r>
      <w:proofErr w:type="spellStart"/>
      <w:r w:rsidRPr="00095DE8">
        <w:rPr>
          <w:i/>
        </w:rPr>
        <w:t>lizozima</w:t>
      </w:r>
      <w:proofErr w:type="spellEnd"/>
      <w:r w:rsidRPr="00095DE8">
        <w:rPr>
          <w:i/>
        </w:rPr>
        <w:t xml:space="preserve">; eksperimentalna primjena novih enoloških postupaka i dodavanje sumporovog dioksida, kalijeva </w:t>
      </w:r>
      <w:proofErr w:type="spellStart"/>
      <w:r w:rsidRPr="00095DE8">
        <w:rPr>
          <w:i/>
        </w:rPr>
        <w:t>bisulfita</w:t>
      </w:r>
      <w:proofErr w:type="spellEnd"/>
      <w:r w:rsidRPr="00095DE8">
        <w:rPr>
          <w:i/>
        </w:rPr>
        <w:t xml:space="preserve"> ili kalij-</w:t>
      </w:r>
      <w:proofErr w:type="spellStart"/>
      <w:r w:rsidRPr="00095DE8">
        <w:rPr>
          <w:i/>
        </w:rPr>
        <w:t>metabisulfita</w:t>
      </w:r>
      <w:proofErr w:type="spellEnd"/>
      <w:r w:rsidRPr="00095DE8">
        <w:rPr>
          <w:i/>
        </w:rPr>
        <w:t>.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Za svaki postupak moraju biti navedeni podaci: vrsta postupka i datum provedbe postupka, količina upotrijebljenog proizvoda, količina proizvoda dobivena postupkom, količina proizvoda upotrijebljenog za povećanje alkoholne jakosti, </w:t>
      </w:r>
      <w:proofErr w:type="spellStart"/>
      <w:r w:rsidRPr="0087459A">
        <w:rPr>
          <w:i/>
        </w:rPr>
        <w:t>dokiseljavanje</w:t>
      </w:r>
      <w:proofErr w:type="spellEnd"/>
      <w:r w:rsidRPr="0087459A">
        <w:rPr>
          <w:i/>
        </w:rPr>
        <w:t xml:space="preserve"> i </w:t>
      </w:r>
      <w:proofErr w:type="spellStart"/>
      <w:r w:rsidRPr="0087459A">
        <w:rPr>
          <w:i/>
        </w:rPr>
        <w:t>otkiseljavanje</w:t>
      </w:r>
      <w:proofErr w:type="spellEnd"/>
      <w:r w:rsidRPr="0087459A">
        <w:rPr>
          <w:i/>
        </w:rPr>
        <w:t xml:space="preserve">, opis proizvoda prije i poslije postupka, oznake na spremnicima u kojima su bili proizvodi upisani u podrumsku evidenciju prije postupka i u kojima su nakon postupka, u slučaju punjenja u boce, broj napunjenih boca i njihov sadržaj, ime i adresa punitelja pri punjenju boca po ugovoru. Podrumske evidencije pjenušavih vina Za svaku </w:t>
      </w:r>
      <w:proofErr w:type="spellStart"/>
      <w:r w:rsidRPr="0087459A">
        <w:rPr>
          <w:i/>
        </w:rPr>
        <w:t>kupažu</w:t>
      </w:r>
      <w:proofErr w:type="spellEnd"/>
      <w:r w:rsidRPr="0087459A">
        <w:rPr>
          <w:i/>
        </w:rPr>
        <w:t xml:space="preserve"> (</w:t>
      </w:r>
      <w:proofErr w:type="spellStart"/>
      <w:r w:rsidRPr="0087459A">
        <w:rPr>
          <w:i/>
        </w:rPr>
        <w:t>cuvée</w:t>
      </w:r>
      <w:proofErr w:type="spellEnd"/>
      <w:r w:rsidRPr="0087459A">
        <w:rPr>
          <w:i/>
        </w:rPr>
        <w:t xml:space="preserve">) upisuje se datum pripreme, datum punjenja u boce, volumen i opis </w:t>
      </w:r>
      <w:proofErr w:type="spellStart"/>
      <w:r w:rsidRPr="0087459A">
        <w:rPr>
          <w:i/>
        </w:rPr>
        <w:t>kupaže</w:t>
      </w:r>
      <w:proofErr w:type="spellEnd"/>
      <w:r w:rsidRPr="0087459A">
        <w:rPr>
          <w:i/>
        </w:rPr>
        <w:t xml:space="preserve"> (</w:t>
      </w:r>
      <w:proofErr w:type="spellStart"/>
      <w:r w:rsidRPr="0087459A">
        <w:rPr>
          <w:i/>
        </w:rPr>
        <w:t>cuvéea</w:t>
      </w:r>
      <w:proofErr w:type="spellEnd"/>
      <w:r w:rsidRPr="0087459A">
        <w:rPr>
          <w:i/>
        </w:rPr>
        <w:t xml:space="preserve">), kao i stvarna i potencijalna alkoholna jakost svakog sastojka </w:t>
      </w:r>
      <w:proofErr w:type="spellStart"/>
      <w:r w:rsidRPr="0087459A">
        <w:rPr>
          <w:i/>
        </w:rPr>
        <w:t>kupaže</w:t>
      </w:r>
      <w:proofErr w:type="spellEnd"/>
      <w:r w:rsidRPr="0087459A">
        <w:rPr>
          <w:i/>
        </w:rPr>
        <w:t xml:space="preserve"> (</w:t>
      </w:r>
      <w:proofErr w:type="spellStart"/>
      <w:r w:rsidRPr="0087459A">
        <w:rPr>
          <w:i/>
        </w:rPr>
        <w:t>cuvéea</w:t>
      </w:r>
      <w:proofErr w:type="spellEnd"/>
      <w:r w:rsidRPr="0087459A">
        <w:rPr>
          <w:i/>
        </w:rPr>
        <w:t>), količina tiražnog likera, količina ekspedicionog likera, broj napunjenih boca uz navođenje vrste pjenušavog vina prema sadržaju preostalog šećera, ako je taj podatak na etiketi.</w:t>
      </w:r>
    </w:p>
    <w:p w:rsidR="00526FFB" w:rsidRPr="0087459A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Podrumske evidencije likerskih vina Za proizvodnju likerskog vina za svaku seriju treba upisati sljedeće podatke: datum dodavanja bilo kojeg proizvoda navedenog u točki 3., </w:t>
      </w:r>
      <w:proofErr w:type="spellStart"/>
      <w:r w:rsidRPr="0087459A">
        <w:rPr>
          <w:i/>
        </w:rPr>
        <w:t>podtočkama</w:t>
      </w:r>
      <w:proofErr w:type="spellEnd"/>
      <w:r w:rsidRPr="0087459A">
        <w:rPr>
          <w:i/>
        </w:rPr>
        <w:t xml:space="preserve"> (e) i (f) Priloga V. Pravilnika o kategorijama proizvoda od grožđa i vina, enološkim postupcima i ograničenjima te vrstu i volumen dodanog proizvoda. Pojedinačna podrumska evidencija i računi Vlasnik podrumske evidencije mora voditi pojedine evidencije ili račune ulaznih i izlaznih količina sljedećih proizvoda koje drži za bilo koje svrhe, uključujući one koje su namijenjene upotrebi u vlastitim prostorijama: saharoze, koncentriranog mošta, </w:t>
      </w:r>
      <w:proofErr w:type="spellStart"/>
      <w:r w:rsidRPr="0087459A">
        <w:rPr>
          <w:i/>
        </w:rPr>
        <w:t>rektificiranog</w:t>
      </w:r>
      <w:proofErr w:type="spellEnd"/>
      <w:r w:rsidRPr="0087459A">
        <w:rPr>
          <w:i/>
        </w:rPr>
        <w:t xml:space="preserve"> koncentriranog mošta, proizvoda koji se upotrebljavaju za </w:t>
      </w:r>
      <w:proofErr w:type="spellStart"/>
      <w:r w:rsidRPr="0087459A">
        <w:rPr>
          <w:i/>
        </w:rPr>
        <w:t>dokiseljavanje</w:t>
      </w:r>
      <w:proofErr w:type="spellEnd"/>
      <w:r w:rsidRPr="0087459A">
        <w:rPr>
          <w:i/>
        </w:rPr>
        <w:t xml:space="preserve">, proizvoda koji se upotrebljavaju za </w:t>
      </w:r>
      <w:proofErr w:type="spellStart"/>
      <w:r w:rsidRPr="0087459A">
        <w:rPr>
          <w:i/>
        </w:rPr>
        <w:t>otkiseljavanje</w:t>
      </w:r>
      <w:proofErr w:type="spellEnd"/>
      <w:r w:rsidRPr="0087459A">
        <w:rPr>
          <w:i/>
        </w:rPr>
        <w:t>, žestokih alkoholnih pića dobivenih destilacijom vina.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lastRenderedPageBreak/>
        <w:t xml:space="preserve">Pojedine podrumske evidencije i računi iskazuju se odvojeno za svaki proizvod: pri ulazu ime ili naziv poduzeća i adresa dobavljača, količina proizvoda, datum ulaza proizvoda, a pri izlazu količina proizvoda, datum korištenja ili izlaza proizvoda, a po mogućnosti i ime ili naziv poduzeća i adresa primatelja.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Dozvoljena odstupanja i gubici 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U prijevozu vina i drugih proizvoda od grožđa i vina kao otvorene robe (rinfuza) dozvoljena su sljedeća odstupanja od podataka navedenih na pratećem dokumentu: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za ukupnu ili stvarnu alkoholnu jakost odstupanje od ± 0,2 % vol.;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za gustoću odstupanje od ± 0,0006;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za sadržaj šećera odstupanje od ± 3 %;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1,5 % od ukupne neto-količine.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U proizvodnji proizvoda od grožđa i vina priznaju se sljedeći gubici (manjkovi):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 xml:space="preserve">– </w:t>
      </w:r>
      <w:proofErr w:type="spellStart"/>
      <w:r w:rsidRPr="00A313F1">
        <w:rPr>
          <w:i/>
        </w:rPr>
        <w:t>međuproizvodi</w:t>
      </w:r>
      <w:proofErr w:type="spellEnd"/>
      <w:r w:rsidRPr="00A313F1">
        <w:rPr>
          <w:i/>
        </w:rPr>
        <w:t xml:space="preserve"> u procesu proizvodnje – do 1,7 %;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pjenušava vina u boci – do 17,5 %;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gotovi proizvodi u rinfuzi – do 10 %;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gotovi proizvodi u boci – do 12,5 %;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– dokumentirani skladišni i transportni gubici – do 0,5 %.</w:t>
      </w:r>
    </w:p>
    <w:p w:rsidR="00625F19" w:rsidRPr="00A313F1" w:rsidRDefault="00625F19" w:rsidP="00625F19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>Gubici veći od navedenih prouzročeni nezgodama priznaju se samo ako su evidentirani zapisnikom nadležnoga vinarskog inspektora.</w:t>
      </w:r>
    </w:p>
    <w:p w:rsidR="00526FFB" w:rsidRPr="00A313F1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A313F1">
        <w:rPr>
          <w:i/>
        </w:rPr>
        <w:t xml:space="preserve">Rokovi za upise u podrumske evidencije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Za ulazne količine proizvoda prvi radni dan nakon primitka, odnosno odmah ako se koriste isti dan.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Za postupke koji se navode u podrumskim evidencijama prvi radni dan nakon postupka, odnosno odmah za pojačavanje. </w:t>
      </w:r>
    </w:p>
    <w:p w:rsidR="00526FFB" w:rsidRPr="0087459A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>Za izlazne količine proizvoda najkasnije treći radni dan nakon otpreme.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Podrumska evidencija otvara se 1. 08. i zaključuje se 31. 07. iduće godine.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Do dana 31. srpnja moraju se zaključiti evidencije ulaznih i izlaznih količina (godišnja bilanca stanja.) Inventura zaliha mora se sastaviti u okviru godišnje bilance stanja. Postojeće zalihe upisuju se u novu podrumsku evidenciju kao ulaz na dan nakon godišnje bilance. Ako godišnja bilanca pokazuje razlike između teoretskih zaliha i stvarnih zaliha, to se mora iskazati u zaključenim knjigama. Popratni dokumenti i potrebne kopije moraju se čuvati najmanje pet godina od kraja kalendarske godine tijekom koje su ispunjeni. Podrumske evidencije i dokumenti o postupcima koji su u njima opisani moraju se čuvati najmanje pet godina nakon što se zatvore pojedinačne podrumske evidencije na koje se oni odnose. </w:t>
      </w:r>
    </w:p>
    <w:p w:rsidR="00526FFB" w:rsidRDefault="00526FFB" w:rsidP="00526FFB">
      <w:pPr>
        <w:pStyle w:val="t-9-8"/>
        <w:spacing w:before="120" w:beforeAutospacing="0" w:after="120"/>
        <w:jc w:val="both"/>
        <w:rPr>
          <w:i/>
        </w:rPr>
      </w:pPr>
      <w:r w:rsidRPr="0087459A">
        <w:rPr>
          <w:i/>
        </w:rPr>
        <w:t xml:space="preserve">Vođenje </w:t>
      </w:r>
      <w:r w:rsidR="00625F19">
        <w:rPr>
          <w:i/>
        </w:rPr>
        <w:t xml:space="preserve">ulaznog i izlaznog registra (ranije: </w:t>
      </w:r>
      <w:r w:rsidRPr="0087459A">
        <w:rPr>
          <w:i/>
        </w:rPr>
        <w:t>podrumske evidencije</w:t>
      </w:r>
      <w:r w:rsidR="00625F19">
        <w:rPr>
          <w:i/>
        </w:rPr>
        <w:t>)</w:t>
      </w:r>
      <w:r w:rsidRPr="0087459A">
        <w:rPr>
          <w:i/>
        </w:rPr>
        <w:t xml:space="preserve"> je obveza</w:t>
      </w:r>
      <w:r w:rsidR="00A66BC2" w:rsidRPr="00A66BC2">
        <w:rPr>
          <w:i/>
        </w:rPr>
        <w:t xml:space="preserve"> prema članku 29. Zakona o vinu (NN 32/2019)</w:t>
      </w:r>
      <w:r w:rsidRPr="0087459A">
        <w:rPr>
          <w:i/>
        </w:rPr>
        <w:t xml:space="preserve">, </w:t>
      </w:r>
      <w:r w:rsidR="00A66BC2">
        <w:rPr>
          <w:i/>
        </w:rPr>
        <w:t xml:space="preserve">a do donošenja novog </w:t>
      </w:r>
      <w:proofErr w:type="spellStart"/>
      <w:r w:rsidR="00A66BC2">
        <w:rPr>
          <w:i/>
        </w:rPr>
        <w:t>podzakonskog</w:t>
      </w:r>
      <w:proofErr w:type="spellEnd"/>
      <w:r w:rsidR="00A66BC2">
        <w:rPr>
          <w:i/>
        </w:rPr>
        <w:t xml:space="preserve"> Pravilnika, s</w:t>
      </w:r>
      <w:r w:rsidR="00A66BC2" w:rsidRPr="0087459A">
        <w:rPr>
          <w:i/>
        </w:rPr>
        <w:t xml:space="preserve">vaki proizvođač je </w:t>
      </w:r>
      <w:r w:rsidR="00A66BC2">
        <w:rPr>
          <w:i/>
        </w:rPr>
        <w:t>mora</w:t>
      </w:r>
      <w:r w:rsidR="00A66BC2" w:rsidRPr="0087459A">
        <w:rPr>
          <w:i/>
        </w:rPr>
        <w:t xml:space="preserve"> voditi</w:t>
      </w:r>
      <w:r w:rsidR="00A66BC2">
        <w:rPr>
          <w:i/>
        </w:rPr>
        <w:t xml:space="preserve"> na način da sadržava podatke prema sadržaju obrazaca objavljenih uz</w:t>
      </w:r>
      <w:r w:rsidRPr="0087459A">
        <w:rPr>
          <w:i/>
        </w:rPr>
        <w:t xml:space="preserve"> </w:t>
      </w:r>
      <w:r w:rsidR="00A66BC2" w:rsidRPr="00A66BC2">
        <w:rPr>
          <w:i/>
        </w:rPr>
        <w:t>Pravilnik o registru vinograda, obveznim izjavama, pratećim dokumentima, podrumskoj evidenciji i proizvodnom potencijalu (NN 48/2014, 83/14, 147/14, 110/16 i 127/17)</w:t>
      </w:r>
      <w:r w:rsidRPr="0087459A">
        <w:rPr>
          <w:i/>
        </w:rPr>
        <w:t>.</w:t>
      </w:r>
    </w:p>
    <w:p w:rsidR="00A66BC2" w:rsidRDefault="00A66BC2" w:rsidP="00526FFB">
      <w:pPr>
        <w:pStyle w:val="t-9-8"/>
        <w:spacing w:before="120" w:beforeAutospacing="0" w:after="120"/>
        <w:jc w:val="both"/>
        <w:rPr>
          <w:i/>
        </w:rPr>
      </w:pPr>
    </w:p>
    <w:p w:rsidR="00A66BC2" w:rsidRDefault="00A66BC2" w:rsidP="00526FFB">
      <w:pPr>
        <w:pStyle w:val="t-9-8"/>
        <w:spacing w:before="120" w:beforeAutospacing="0" w:after="120"/>
        <w:jc w:val="both"/>
        <w:rPr>
          <w:i/>
        </w:rPr>
      </w:pPr>
    </w:p>
    <w:p w:rsidR="00A66BC2" w:rsidRDefault="00A66BC2" w:rsidP="00526FFB">
      <w:pPr>
        <w:pStyle w:val="t-9-8"/>
        <w:spacing w:before="120" w:beforeAutospacing="0" w:after="120"/>
        <w:jc w:val="both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5760720" cy="7031865"/>
            <wp:effectExtent l="0" t="0" r="0" b="0"/>
            <wp:docPr id="1" name="Slika 1" descr="cid:image004.png@01D720B1.DEE3C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id:image004.png@01D720B1.DEE3CB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C2" w:rsidRDefault="00A66BC2" w:rsidP="00526FFB">
      <w:pPr>
        <w:pStyle w:val="t-9-8"/>
        <w:spacing w:before="120" w:beforeAutospacing="0" w:after="120"/>
        <w:jc w:val="both"/>
        <w:rPr>
          <w:i/>
        </w:rPr>
      </w:pPr>
    </w:p>
    <w:p w:rsidR="00A66BC2" w:rsidRDefault="00A66BC2" w:rsidP="00526FFB">
      <w:pPr>
        <w:pStyle w:val="t-9-8"/>
        <w:spacing w:before="120" w:beforeAutospacing="0" w:after="120"/>
        <w:jc w:val="both"/>
        <w:rPr>
          <w:i/>
        </w:rPr>
      </w:pPr>
    </w:p>
    <w:p w:rsidR="00A313F1" w:rsidRDefault="00A313F1" w:rsidP="00526FFB">
      <w:pPr>
        <w:pStyle w:val="t-9-8"/>
        <w:spacing w:before="120" w:beforeAutospacing="0" w:after="120"/>
        <w:jc w:val="both"/>
        <w:rPr>
          <w:i/>
        </w:rPr>
      </w:pPr>
    </w:p>
    <w:p w:rsidR="00A313F1" w:rsidRDefault="00A313F1" w:rsidP="00526FFB">
      <w:pPr>
        <w:pStyle w:val="t-9-8"/>
        <w:spacing w:before="120" w:beforeAutospacing="0" w:after="120"/>
        <w:jc w:val="both"/>
        <w:rPr>
          <w:i/>
        </w:rPr>
      </w:pPr>
    </w:p>
    <w:p w:rsidR="00A313F1" w:rsidRDefault="00A313F1" w:rsidP="00526FFB">
      <w:pPr>
        <w:pStyle w:val="t-9-8"/>
        <w:spacing w:before="120" w:beforeAutospacing="0" w:after="120"/>
        <w:jc w:val="both"/>
        <w:rPr>
          <w:i/>
        </w:rPr>
      </w:pPr>
    </w:p>
    <w:p w:rsidR="00A313F1" w:rsidRDefault="00A313F1" w:rsidP="00526FFB">
      <w:pPr>
        <w:pStyle w:val="t-9-8"/>
        <w:spacing w:before="120" w:beforeAutospacing="0" w:after="120"/>
        <w:jc w:val="both"/>
        <w:rPr>
          <w:i/>
        </w:rPr>
      </w:pPr>
    </w:p>
    <w:p w:rsidR="00A313F1" w:rsidRPr="0087459A" w:rsidRDefault="00A313F1" w:rsidP="00526FFB">
      <w:pPr>
        <w:pStyle w:val="t-9-8"/>
        <w:spacing w:before="120" w:beforeAutospacing="0" w:after="120"/>
        <w:jc w:val="both"/>
        <w:rPr>
          <w:i/>
        </w:rPr>
      </w:pPr>
    </w:p>
    <w:p w:rsidR="00A313F1" w:rsidRDefault="00A313F1" w:rsidP="00526FFB">
      <w:pPr>
        <w:pStyle w:val="t-9-8"/>
        <w:spacing w:before="120" w:beforeAutospacing="0" w:after="120"/>
        <w:jc w:val="both"/>
      </w:pPr>
    </w:p>
    <w:p w:rsidR="00526FFB" w:rsidRDefault="00526FFB" w:rsidP="00526FFB">
      <w:pPr>
        <w:pStyle w:val="t-9-8"/>
        <w:spacing w:before="120" w:beforeAutospacing="0" w:after="120"/>
        <w:jc w:val="both"/>
      </w:pPr>
      <w:r w:rsidRPr="0087459A">
        <w:rPr>
          <w:noProof/>
        </w:rPr>
        <w:drawing>
          <wp:inline distT="0" distB="0" distL="0" distR="0" wp14:anchorId="62A6BF0B" wp14:editId="31FBEB3A">
            <wp:extent cx="5760720" cy="230865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FB" w:rsidRDefault="00526FFB" w:rsidP="00526FFB">
      <w:pPr>
        <w:pStyle w:val="t-9-8"/>
        <w:spacing w:before="120" w:beforeAutospacing="0" w:after="120"/>
        <w:jc w:val="both"/>
      </w:pPr>
    </w:p>
    <w:p w:rsidR="00526FFB" w:rsidRDefault="00526FFB" w:rsidP="00526FFB">
      <w:pPr>
        <w:pStyle w:val="t-9-8"/>
        <w:spacing w:before="120" w:beforeAutospacing="0" w:after="120"/>
        <w:jc w:val="both"/>
      </w:pPr>
      <w:r w:rsidRPr="0087459A">
        <w:rPr>
          <w:noProof/>
        </w:rPr>
        <w:drawing>
          <wp:inline distT="0" distB="0" distL="0" distR="0" wp14:anchorId="287BEEEE" wp14:editId="3589F8A7">
            <wp:extent cx="5760720" cy="2345897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FB" w:rsidRDefault="00526FFB" w:rsidP="00526FFB">
      <w:pPr>
        <w:pStyle w:val="t-9-8"/>
        <w:spacing w:before="120" w:beforeAutospacing="0" w:after="120"/>
        <w:jc w:val="both"/>
      </w:pPr>
    </w:p>
    <w:p w:rsidR="00526FFB" w:rsidRDefault="00526FFB" w:rsidP="00526FFB">
      <w:pPr>
        <w:pStyle w:val="t-9-8"/>
        <w:spacing w:before="120" w:beforeAutospacing="0" w:after="120"/>
        <w:jc w:val="both"/>
      </w:pPr>
      <w:r w:rsidRPr="0087459A">
        <w:rPr>
          <w:noProof/>
        </w:rPr>
        <w:drawing>
          <wp:inline distT="0" distB="0" distL="0" distR="0" wp14:anchorId="0914F07E" wp14:editId="035AD2BE">
            <wp:extent cx="5648325" cy="1680845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39" cy="16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C2" w:rsidRPr="00A66BC2" w:rsidRDefault="00A66BC2" w:rsidP="00526FFB">
      <w:pPr>
        <w:pStyle w:val="t-9-8"/>
        <w:spacing w:before="120" w:beforeAutospacing="0" w:after="120"/>
        <w:jc w:val="both"/>
        <w:rPr>
          <w:i/>
        </w:rPr>
      </w:pPr>
    </w:p>
    <w:p w:rsidR="00A66BC2" w:rsidRPr="00A66BC2" w:rsidRDefault="00A66BC2" w:rsidP="00526FFB">
      <w:pPr>
        <w:pStyle w:val="t-9-8"/>
        <w:spacing w:before="120" w:beforeAutospacing="0" w:after="120"/>
        <w:jc w:val="both"/>
        <w:rPr>
          <w:i/>
        </w:rPr>
      </w:pPr>
    </w:p>
    <w:p w:rsidR="00A66BC2" w:rsidRPr="00A66BC2" w:rsidRDefault="00A66BC2" w:rsidP="00526FFB">
      <w:pPr>
        <w:pStyle w:val="t-9-8"/>
        <w:spacing w:before="120" w:beforeAutospacing="0" w:after="120"/>
        <w:jc w:val="both"/>
        <w:rPr>
          <w:i/>
        </w:rPr>
      </w:pPr>
    </w:p>
    <w:p w:rsidR="00A66BC2" w:rsidRDefault="00A66BC2" w:rsidP="00526FFB">
      <w:pPr>
        <w:pStyle w:val="t-9-8"/>
        <w:spacing w:before="120" w:beforeAutospacing="0" w:after="120"/>
        <w:jc w:val="both"/>
        <w:rPr>
          <w:i/>
        </w:rPr>
        <w:sectPr w:rsidR="00A66B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13F1" w:rsidRDefault="00A313F1" w:rsidP="00A313F1">
      <w:pPr>
        <w:pStyle w:val="t-9-8"/>
        <w:spacing w:before="120" w:beforeAutospacing="0" w:after="120"/>
        <w:jc w:val="both"/>
      </w:pPr>
      <w:r>
        <w:lastRenderedPageBreak/>
        <w:t>PRIMJERI OBRAZACA</w:t>
      </w:r>
    </w:p>
    <w:p w:rsidR="00A66BC2" w:rsidRPr="00B8223C" w:rsidRDefault="00A66BC2" w:rsidP="00A66BC2">
      <w:pPr>
        <w:ind w:left="35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A313F1" w:rsidRPr="00B8223C" w:rsidRDefault="00A313F1" w:rsidP="00A313F1">
      <w:pPr>
        <w:tabs>
          <w:tab w:val="center" w:pos="6237"/>
        </w:tabs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B8223C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PODRUMSKE EVIDENCIJE</w:t>
      </w:r>
    </w:p>
    <w:p w:rsidR="00A66BC2" w:rsidRPr="00B8223C" w:rsidRDefault="00A66BC2" w:rsidP="00A66BC2">
      <w:pPr>
        <w:ind w:left="354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A66BC2" w:rsidRPr="00EE3AA0" w:rsidRDefault="00A66BC2" w:rsidP="00A66B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Tablica 1.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EVIDENCIJA O ENOLOŠKIM POSTUPCIMA I SREDSTVIMA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KORIŠTENIM U PROIZVODNJI VINA I DRUGIH PROIZVODA OD GROŽĐA I VINA</w:t>
      </w:r>
      <w:r w:rsidRPr="00EE3A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3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1423"/>
        <w:gridCol w:w="2115"/>
        <w:gridCol w:w="1682"/>
        <w:gridCol w:w="1341"/>
        <w:gridCol w:w="2115"/>
        <w:gridCol w:w="1580"/>
        <w:gridCol w:w="1580"/>
      </w:tblGrid>
      <w:tr w:rsidR="00A66BC2" w:rsidRPr="00B8223C" w:rsidTr="00A7157C">
        <w:tc>
          <w:tcPr>
            <w:tcW w:w="828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080" w:type="dxa"/>
            <w:shd w:val="clear" w:color="auto" w:fill="auto"/>
          </w:tcPr>
          <w:p w:rsidR="00A66BC2" w:rsidRPr="00B8223C" w:rsidRDefault="00A66BC2" w:rsidP="00A7157C">
            <w:pPr>
              <w:tabs>
                <w:tab w:val="right" w:pos="1934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Postupak</w:t>
            </w:r>
          </w:p>
        </w:tc>
        <w:tc>
          <w:tcPr>
            <w:tcW w:w="1423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Korišteno sredstvo</w:t>
            </w:r>
          </w:p>
        </w:tc>
        <w:tc>
          <w:tcPr>
            <w:tcW w:w="2115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Količina u kg ili hl i oznaka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posude u kojoj se proizvod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nalazi prije tretiranja</w:t>
            </w:r>
          </w:p>
        </w:tc>
        <w:tc>
          <w:tcPr>
            <w:tcW w:w="1682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Opis ili sadržaj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parametra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 prije tretiranja</w:t>
            </w:r>
          </w:p>
        </w:tc>
        <w:tc>
          <w:tcPr>
            <w:tcW w:w="1341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Opis ili sadržaj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parametra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poslije tretiranja</w:t>
            </w:r>
          </w:p>
        </w:tc>
        <w:tc>
          <w:tcPr>
            <w:tcW w:w="2115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Količina u kg ili hl i oznaka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posude u kojoj se proizvod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nalazi poslije tretiranja</w:t>
            </w:r>
          </w:p>
        </w:tc>
        <w:tc>
          <w:tcPr>
            <w:tcW w:w="1580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 xml:space="preserve">Namjena po kakvoći </w:t>
            </w:r>
          </w:p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(šifra i naziv)</w:t>
            </w:r>
          </w:p>
        </w:tc>
        <w:tc>
          <w:tcPr>
            <w:tcW w:w="1580" w:type="dxa"/>
            <w:shd w:val="clear" w:color="auto" w:fill="auto"/>
          </w:tcPr>
          <w:p w:rsidR="00A66BC2" w:rsidRPr="00B8223C" w:rsidRDefault="00A66BC2" w:rsidP="00A7157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</w:pPr>
            <w:r w:rsidRPr="00B822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Napomena</w:t>
            </w: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2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2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2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4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66BC2" w:rsidRPr="00EE3AA0" w:rsidRDefault="00A66BC2" w:rsidP="00A66B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6BC2" w:rsidRPr="00EE3AA0" w:rsidRDefault="00A66BC2" w:rsidP="00A66BC2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sz w:val="24"/>
          <w:szCs w:val="24"/>
          <w:lang w:eastAsia="hr-HR"/>
        </w:rPr>
        <w:t>podaci moraju biti uneseni u roku 3 dana po okončanju postupka ili korištenja sredstva</w:t>
      </w:r>
    </w:p>
    <w:p w:rsidR="00A66BC2" w:rsidRDefault="00A66BC2" w:rsidP="00A66BC2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6BC2" w:rsidRPr="00EE3AA0" w:rsidRDefault="00A66BC2" w:rsidP="00A66B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Tablica 2. 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EVIDENCIJA PUNJENJA I PRENAMJENE PROIZVODA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422"/>
        <w:gridCol w:w="1398"/>
        <w:gridCol w:w="791"/>
        <w:gridCol w:w="892"/>
        <w:gridCol w:w="1006"/>
        <w:gridCol w:w="1006"/>
        <w:gridCol w:w="1201"/>
        <w:gridCol w:w="842"/>
        <w:gridCol w:w="1006"/>
        <w:gridCol w:w="877"/>
        <w:gridCol w:w="1364"/>
        <w:gridCol w:w="1317"/>
      </w:tblGrid>
      <w:tr w:rsidR="00A66BC2" w:rsidRPr="00EE3AA0" w:rsidTr="00A7157C">
        <w:tc>
          <w:tcPr>
            <w:tcW w:w="870" w:type="dxa"/>
            <w:tcBorders>
              <w:bottom w:val="nil"/>
            </w:tcBorders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439" w:type="dxa"/>
            <w:tcBorders>
              <w:bottom w:val="nil"/>
            </w:tcBorders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proizvoda</w:t>
            </w:r>
          </w:p>
        </w:tc>
        <w:tc>
          <w:tcPr>
            <w:tcW w:w="1437" w:type="dxa"/>
            <w:tcBorders>
              <w:bottom w:val="nil"/>
            </w:tcBorders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Ukupna količina</w:t>
            </w:r>
          </w:p>
        </w:tc>
        <w:tc>
          <w:tcPr>
            <w:tcW w:w="845" w:type="dxa"/>
            <w:tcBorders>
              <w:right w:val="nil"/>
            </w:tcBorders>
            <w:shd w:val="clear" w:color="auto" w:fill="auto"/>
            <w:vAlign w:val="center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33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Ukupna količina po zapreminama koja se puni (npr. 1l, 0,75l…)</w:t>
            </w:r>
          </w:p>
        </w:tc>
        <w:tc>
          <w:tcPr>
            <w:tcW w:w="13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Prenamjena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proizvoda</w:t>
            </w:r>
          </w:p>
        </w:tc>
      </w:tr>
      <w:tr w:rsidR="00A66BC2" w:rsidRPr="00EE3AA0" w:rsidTr="00A7157C">
        <w:tc>
          <w:tcPr>
            <w:tcW w:w="870" w:type="dxa"/>
            <w:tcBorders>
              <w:top w:val="nil"/>
            </w:tcBorders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tcBorders>
              <w:top w:val="nil"/>
            </w:tcBorders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(šifra i kategorija)</w:t>
            </w:r>
          </w:p>
        </w:tc>
        <w:tc>
          <w:tcPr>
            <w:tcW w:w="1437" w:type="dxa"/>
            <w:tcBorders>
              <w:top w:val="nil"/>
            </w:tcBorders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koja se puni</w:t>
            </w: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Ukupna kol. (hl)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6BC2" w:rsidRPr="00EE3AA0" w:rsidRDefault="00A66BC2" w:rsidP="00A7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proizvoda</w:t>
            </w: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c>
          <w:tcPr>
            <w:tcW w:w="87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37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56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94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1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3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30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66BC2" w:rsidRPr="00EE3AA0" w:rsidRDefault="00A66BC2" w:rsidP="00A66BC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6BC2" w:rsidRPr="00EE3AA0" w:rsidRDefault="00A66BC2" w:rsidP="00A66BC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sz w:val="24"/>
          <w:szCs w:val="24"/>
          <w:lang w:eastAsia="hr-HR"/>
        </w:rPr>
        <w:t>- podaci moraju biti uneseni najkasnije idući radni dan</w:t>
      </w:r>
    </w:p>
    <w:p w:rsidR="00A66BC2" w:rsidRDefault="00A66BC2" w:rsidP="00A66BC2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6BC2" w:rsidRPr="00EE3AA0" w:rsidRDefault="00A66BC2" w:rsidP="00A66B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Tablica 3. 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EVIDENCIJA ULAZA GROŽĐA, MOŠTA VINA I DRUGIH PROIZVODA OD GROŽĐA I VINA 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Hlk63347424"/>
    </w:p>
    <w:tbl>
      <w:tblPr>
        <w:tblW w:w="129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649"/>
        <w:gridCol w:w="2649"/>
        <w:gridCol w:w="2113"/>
        <w:gridCol w:w="2113"/>
        <w:gridCol w:w="2113"/>
      </w:tblGrid>
      <w:tr w:rsidR="00A66BC2" w:rsidRPr="00EE3AA0" w:rsidTr="00A7157C">
        <w:trPr>
          <w:trHeight w:val="1102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Količina u t (ili kg) ili hl</w:t>
            </w: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i šifra sorte grožđa</w:t>
            </w: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Mošt po boji i naziv i šifra sorte</w:t>
            </w: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Vino po boji i naziv i kategorija namjene</w:t>
            </w: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3AA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proizvodi - naziv</w:t>
            </w: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86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66BC2" w:rsidRPr="00EE3AA0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EE3AA0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bookmarkEnd w:id="0"/>
    <w:p w:rsidR="00A66BC2" w:rsidRPr="00EE3AA0" w:rsidRDefault="00A66BC2" w:rsidP="00A66BC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:rsidR="00A66BC2" w:rsidRPr="00EE3AA0" w:rsidRDefault="00A66BC2" w:rsidP="00A66BC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- podaci moraju biti uneseni najkasnije idući radni dan</w:t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313F1" w:rsidRDefault="00A313F1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A66BC2" w:rsidRPr="00EE3AA0" w:rsidRDefault="00A66BC2" w:rsidP="00A66BC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GoBack"/>
      <w:bookmarkEnd w:id="1"/>
    </w:p>
    <w:p w:rsidR="00A66BC2" w:rsidRPr="00EE3AA0" w:rsidRDefault="00A66BC2" w:rsidP="00A66B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Tablica 4. </w:t>
      </w:r>
    </w:p>
    <w:p w:rsidR="00A66BC2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EVIDENCIJA IZLAZA GROŽĐA, MOŠTA VINA I DRUGIH PROIZVODA OD GROŽĐA I VINA</w:t>
      </w:r>
    </w:p>
    <w:p w:rsidR="00A66BC2" w:rsidRPr="00967A8B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129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649"/>
        <w:gridCol w:w="2649"/>
        <w:gridCol w:w="2113"/>
        <w:gridCol w:w="2113"/>
        <w:gridCol w:w="2113"/>
      </w:tblGrid>
      <w:tr w:rsidR="00A66BC2" w:rsidRPr="00967A8B" w:rsidTr="00A7157C">
        <w:trPr>
          <w:trHeight w:val="879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A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A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Količina u t (ili kg) ili hl</w:t>
            </w: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A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i šifra sorte grožđa</w:t>
            </w: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A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Mošt po boji i naziv i šifra sorte</w:t>
            </w: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A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Vino po boji i naziv i kategorija namjene</w:t>
            </w: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67A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proizvodi - naziv</w:t>
            </w: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86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A66BC2" w:rsidRPr="00967A8B" w:rsidTr="00A7157C">
        <w:trPr>
          <w:trHeight w:val="271"/>
        </w:trPr>
        <w:tc>
          <w:tcPr>
            <w:tcW w:w="1348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49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13" w:type="dxa"/>
            <w:shd w:val="clear" w:color="auto" w:fill="auto"/>
          </w:tcPr>
          <w:p w:rsidR="00A66BC2" w:rsidRPr="00967A8B" w:rsidRDefault="00A66BC2" w:rsidP="00A71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A66BC2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6BC2" w:rsidRDefault="00A66BC2" w:rsidP="00A66B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3AA0">
        <w:rPr>
          <w:rFonts w:ascii="Times New Roman" w:eastAsia="Times New Roman" w:hAnsi="Times New Roman" w:cs="Times New Roman"/>
          <w:sz w:val="24"/>
          <w:szCs w:val="24"/>
          <w:lang w:eastAsia="hr-HR"/>
        </w:rPr>
        <w:t>- podaci moraju biti uneseni najkasnije idući radni dan</w:t>
      </w:r>
    </w:p>
    <w:p w:rsidR="00526FFB" w:rsidRPr="00A66BC2" w:rsidRDefault="00526FFB" w:rsidP="00526FFB">
      <w:pPr>
        <w:pStyle w:val="t-9-8"/>
        <w:spacing w:before="120" w:beforeAutospacing="0" w:after="120"/>
        <w:jc w:val="both"/>
        <w:rPr>
          <w:i/>
        </w:rPr>
      </w:pPr>
    </w:p>
    <w:sectPr w:rsidR="00526FFB" w:rsidRPr="00A66BC2" w:rsidSect="00A66BC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35289"/>
    <w:multiLevelType w:val="hybridMultilevel"/>
    <w:tmpl w:val="4A8E78DA"/>
    <w:lvl w:ilvl="0" w:tplc="DC3C9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5513C"/>
    <w:multiLevelType w:val="hybridMultilevel"/>
    <w:tmpl w:val="506462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FB"/>
    <w:rsid w:val="003D1289"/>
    <w:rsid w:val="00526FFB"/>
    <w:rsid w:val="006155A4"/>
    <w:rsid w:val="00625F19"/>
    <w:rsid w:val="00A313F1"/>
    <w:rsid w:val="00A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E8E8"/>
  <w15:chartTrackingRefBased/>
  <w15:docId w15:val="{6967C3FF-8F0D-4119-82CE-0BD39168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FFB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26FFB"/>
    <w:pPr>
      <w:spacing w:before="100" w:beforeAutospacing="1" w:after="225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52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0056">
    <w:name w:val="box_460056"/>
    <w:basedOn w:val="Normal"/>
    <w:rsid w:val="00526FFB"/>
    <w:pPr>
      <w:spacing w:before="100" w:beforeAutospacing="1" w:after="22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625F19"/>
    <w:pPr>
      <w:spacing w:before="100" w:beforeAutospacing="1" w:after="225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720B1.DEE3CB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Orenda</dc:creator>
  <cp:keywords/>
  <dc:description/>
  <cp:lastModifiedBy>Juraj Orenda</cp:lastModifiedBy>
  <cp:revision>2</cp:revision>
  <dcterms:created xsi:type="dcterms:W3CDTF">2021-05-04T13:34:00Z</dcterms:created>
  <dcterms:modified xsi:type="dcterms:W3CDTF">2021-05-04T13:34:00Z</dcterms:modified>
</cp:coreProperties>
</file>