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7E05" w14:textId="77777777" w:rsidR="00107FC0" w:rsidRDefault="00107FC0" w:rsidP="00107FC0">
      <w:pPr>
        <w:pStyle w:val="bezproreda"/>
      </w:pPr>
      <w:bookmarkStart w:id="0" w:name="_GoBack"/>
      <w:bookmarkEnd w:id="0"/>
    </w:p>
    <w:p w14:paraId="3BE9444F" w14:textId="7D48ABFC" w:rsidR="00107FC0" w:rsidRDefault="00107FC0" w:rsidP="00107FC0">
      <w:pPr>
        <w:pStyle w:val="Normal1"/>
        <w:spacing w:after="0"/>
      </w:pPr>
      <w:r>
        <w:rPr>
          <w:b/>
          <w:noProof/>
        </w:rPr>
        <w:drawing>
          <wp:inline distT="0" distB="0" distL="0" distR="0" wp14:anchorId="118EE70C" wp14:editId="492DCE1B">
            <wp:extent cx="914400" cy="1047750"/>
            <wp:effectExtent l="0" t="0" r="0" b="0"/>
            <wp:docPr id="1" name="Slika 1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50E7" w14:textId="25C00D11" w:rsidR="00107FC0" w:rsidRDefault="000107D0" w:rsidP="00107FC0">
      <w:pPr>
        <w:pStyle w:val="Normal1"/>
        <w:spacing w:after="0"/>
      </w:pPr>
      <w:r>
        <w:rPr>
          <w:rStyle w:val="zadanifontodlomka-000002"/>
        </w:rPr>
        <w:t>REPUBLIKA HRVATSKA</w:t>
      </w:r>
    </w:p>
    <w:p w14:paraId="17A2B5B1" w14:textId="77777777" w:rsidR="00107FC0" w:rsidRDefault="00107FC0" w:rsidP="00107FC0">
      <w:pPr>
        <w:pStyle w:val="Normal1"/>
        <w:spacing w:after="0"/>
      </w:pPr>
      <w:r>
        <w:rPr>
          <w:rStyle w:val="zadanifontodlomka-000002"/>
        </w:rPr>
        <w:t xml:space="preserve">MINISTARSTVO POLJOPRIVREDE </w:t>
      </w:r>
    </w:p>
    <w:p w14:paraId="0504ED2D" w14:textId="0617E786" w:rsidR="00107FC0" w:rsidRDefault="00107FC0" w:rsidP="000107D0">
      <w:pPr>
        <w:pStyle w:val="normal-000003"/>
        <w:spacing w:after="0"/>
      </w:pPr>
    </w:p>
    <w:p w14:paraId="290B7EB0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3907E747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7F405140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617A08DF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21B34056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74B7D73D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4BC9419C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02E6E0A8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5E19BC98" w14:textId="77777777" w:rsidR="000107D0" w:rsidRDefault="000107D0" w:rsidP="00107FC0">
      <w:pPr>
        <w:pStyle w:val="normal-000003"/>
        <w:spacing w:after="0"/>
        <w:rPr>
          <w:rStyle w:val="000004"/>
        </w:rPr>
      </w:pPr>
    </w:p>
    <w:p w14:paraId="1C6506E9" w14:textId="77777777" w:rsidR="000107D0" w:rsidRDefault="000107D0" w:rsidP="00AC6B32">
      <w:pPr>
        <w:pStyle w:val="normal-000007"/>
        <w:spacing w:after="0"/>
        <w:jc w:val="center"/>
        <w:rPr>
          <w:rStyle w:val="000004"/>
        </w:rPr>
      </w:pPr>
    </w:p>
    <w:p w14:paraId="6AC6DD80" w14:textId="77777777" w:rsidR="000107D0" w:rsidRDefault="000107D0" w:rsidP="00AC6B32">
      <w:pPr>
        <w:pStyle w:val="normal-000007"/>
        <w:spacing w:after="0"/>
        <w:jc w:val="center"/>
        <w:rPr>
          <w:rStyle w:val="000004"/>
        </w:rPr>
      </w:pPr>
    </w:p>
    <w:p w14:paraId="146518E7" w14:textId="468EAAFF" w:rsidR="00107FC0" w:rsidRDefault="00107FC0" w:rsidP="00AC6B32">
      <w:pPr>
        <w:pStyle w:val="normal-000007"/>
        <w:spacing w:after="0"/>
        <w:jc w:val="center"/>
      </w:pPr>
    </w:p>
    <w:p w14:paraId="6A42DEFD" w14:textId="77777777" w:rsidR="000107D0" w:rsidRDefault="000107D0" w:rsidP="00AC6B32">
      <w:pPr>
        <w:pStyle w:val="normal-000007"/>
        <w:spacing w:after="0"/>
        <w:jc w:val="center"/>
      </w:pPr>
    </w:p>
    <w:p w14:paraId="5C4341E0" w14:textId="27E91768" w:rsidR="00553E69" w:rsidRPr="0082261E" w:rsidRDefault="000107D0" w:rsidP="00553E69">
      <w:pPr>
        <w:pStyle w:val="naslov"/>
        <w:rPr>
          <w:b/>
        </w:rPr>
      </w:pPr>
      <w:r w:rsidRPr="0082261E">
        <w:rPr>
          <w:rStyle w:val="zadanifontodlomka-000008"/>
        </w:rPr>
        <w:t>PROGRAM POTPORE</w:t>
      </w:r>
      <w:r w:rsidR="00107FC0" w:rsidRPr="0082261E">
        <w:rPr>
          <w:rStyle w:val="zadanifontodlomka-000008"/>
        </w:rPr>
        <w:t xml:space="preserve"> </w:t>
      </w:r>
      <w:r w:rsidR="0082261E" w:rsidRPr="0082261E">
        <w:rPr>
          <w:rStyle w:val="zadanifontodlomka-000008"/>
        </w:rPr>
        <w:t xml:space="preserve">MALE VRIJEDNOSTI </w:t>
      </w:r>
      <w:r w:rsidR="00A154C8">
        <w:rPr>
          <w:b/>
        </w:rPr>
        <w:t>POLJOPRIVREDNICIMA</w:t>
      </w:r>
    </w:p>
    <w:p w14:paraId="0579110A" w14:textId="5BCE09A1" w:rsidR="00107FC0" w:rsidRPr="0082261E" w:rsidRDefault="00553E69" w:rsidP="00553E69">
      <w:pPr>
        <w:pStyle w:val="naslov"/>
        <w:rPr>
          <w:b/>
        </w:rPr>
      </w:pPr>
      <w:r w:rsidRPr="0082261E">
        <w:rPr>
          <w:b/>
        </w:rPr>
        <w:t xml:space="preserve">ZA </w:t>
      </w:r>
      <w:r w:rsidR="0019477D" w:rsidRPr="0082261E">
        <w:rPr>
          <w:b/>
        </w:rPr>
        <w:t>NABAVU MI</w:t>
      </w:r>
      <w:r w:rsidR="000470C8">
        <w:rPr>
          <w:b/>
        </w:rPr>
        <w:t>N</w:t>
      </w:r>
      <w:r w:rsidR="0019477D" w:rsidRPr="0082261E">
        <w:rPr>
          <w:b/>
        </w:rPr>
        <w:t>ERALNOG</w:t>
      </w:r>
      <w:r w:rsidR="003320BA" w:rsidRPr="0082261E">
        <w:rPr>
          <w:b/>
        </w:rPr>
        <w:t xml:space="preserve"> GNOJIVA</w:t>
      </w:r>
    </w:p>
    <w:p w14:paraId="717C1B4C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41302E8B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70764EC1" w14:textId="77777777" w:rsidR="00107FC0" w:rsidRDefault="00107FC0" w:rsidP="00AC6B32">
      <w:pPr>
        <w:pStyle w:val="normal-000003"/>
        <w:spacing w:after="0"/>
        <w:rPr>
          <w:rStyle w:val="000004"/>
        </w:rPr>
      </w:pPr>
    </w:p>
    <w:p w14:paraId="05B82E2A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05CFB20A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0BEDE6A1" w14:textId="77777777" w:rsidR="00107FC0" w:rsidRDefault="00107FC0" w:rsidP="00107FC0">
      <w:pPr>
        <w:pStyle w:val="normal-000003"/>
        <w:spacing w:after="0"/>
        <w:rPr>
          <w:rStyle w:val="000004"/>
        </w:rPr>
      </w:pPr>
    </w:p>
    <w:p w14:paraId="22716E66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74A4F467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7740F9D8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12BDB900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136EED46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219159B8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602B9FAA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049922F7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01DF07EB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643F7FF6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731CE60B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36B2377F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6E07D495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3D7342FA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5D5D8F58" w14:textId="77777777" w:rsidR="000107D0" w:rsidRDefault="000107D0" w:rsidP="0082261E">
      <w:pPr>
        <w:pStyle w:val="normal-000012"/>
        <w:spacing w:after="0"/>
        <w:jc w:val="left"/>
        <w:rPr>
          <w:rStyle w:val="zadanifontodlomka-000002"/>
        </w:rPr>
      </w:pPr>
    </w:p>
    <w:p w14:paraId="66D0B6E6" w14:textId="77777777" w:rsidR="000107D0" w:rsidRDefault="000107D0" w:rsidP="00107FC0">
      <w:pPr>
        <w:pStyle w:val="normal-000012"/>
        <w:spacing w:after="0"/>
        <w:rPr>
          <w:rStyle w:val="zadanifontodlomka-000002"/>
        </w:rPr>
      </w:pPr>
    </w:p>
    <w:p w14:paraId="060596D4" w14:textId="5D81534D" w:rsidR="00107FC0" w:rsidRDefault="00107FC0" w:rsidP="000107D0">
      <w:pPr>
        <w:pStyle w:val="normal-000012"/>
        <w:spacing w:after="0"/>
        <w:rPr>
          <w:rStyle w:val="zadanifontodlomka-000002"/>
        </w:rPr>
      </w:pPr>
      <w:r>
        <w:rPr>
          <w:rStyle w:val="zadanifontodlomka-000002"/>
        </w:rPr>
        <w:t xml:space="preserve">Zagreb, </w:t>
      </w:r>
      <w:r w:rsidR="0025479F">
        <w:rPr>
          <w:rStyle w:val="zadanifontodlomka-000002"/>
        </w:rPr>
        <w:t>ožujak</w:t>
      </w:r>
      <w:r>
        <w:rPr>
          <w:rStyle w:val="zadanifontodlomka-000002"/>
        </w:rPr>
        <w:t xml:space="preserve"> 2022. godine </w:t>
      </w:r>
    </w:p>
    <w:p w14:paraId="08325A1A" w14:textId="5C1DEB72" w:rsidR="003320BA" w:rsidRDefault="003320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b/>
          <w:bCs/>
        </w:rPr>
        <w:br w:type="page"/>
      </w:r>
    </w:p>
    <w:p w14:paraId="3278B756" w14:textId="68280626" w:rsidR="00107FC0" w:rsidRDefault="00107FC0" w:rsidP="000107D0">
      <w:pPr>
        <w:pStyle w:val="Odlomakpopisa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0107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lastRenderedPageBreak/>
        <w:t>UVOD</w:t>
      </w:r>
    </w:p>
    <w:p w14:paraId="29B6F3E2" w14:textId="77777777" w:rsidR="003320BA" w:rsidRPr="003320BA" w:rsidRDefault="003320BA" w:rsidP="003320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</w:p>
    <w:p w14:paraId="313DC2E6" w14:textId="0A544254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 xml:space="preserve">U agrotehnici </w:t>
      </w:r>
      <w:r>
        <w:rPr>
          <w:rFonts w:ascii="Times New Roman" w:hAnsi="Times New Roman" w:cs="Times New Roman"/>
          <w:sz w:val="24"/>
          <w:szCs w:val="24"/>
        </w:rPr>
        <w:t>poljoprivrednih</w:t>
      </w:r>
      <w:r w:rsidRPr="003320BA">
        <w:rPr>
          <w:rFonts w:ascii="Times New Roman" w:hAnsi="Times New Roman" w:cs="Times New Roman"/>
          <w:sz w:val="24"/>
          <w:szCs w:val="24"/>
        </w:rPr>
        <w:t xml:space="preserve"> kultura jedan od najznačajnijih čimbenika je gnojidba. </w:t>
      </w:r>
    </w:p>
    <w:p w14:paraId="296ABE95" w14:textId="0C91FC62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>Pravilna ishrana neizostavna je komponenta u uzgoju poljoprivrednih kultura. Pravilnom ishranom postižu se željeni prinosi, održava biljka u dobrom zdravstvenom stanju, a istovremeno se održava dobro stanje fizikalnih i kemijskih svojstava tla, očuvanje hranjive tvari u tlu</w:t>
      </w:r>
      <w:r w:rsidR="000470C8">
        <w:rPr>
          <w:rFonts w:ascii="Times New Roman" w:hAnsi="Times New Roman" w:cs="Times New Roman"/>
          <w:sz w:val="24"/>
          <w:szCs w:val="24"/>
        </w:rPr>
        <w:t>.</w:t>
      </w:r>
      <w:r w:rsidRPr="003320BA">
        <w:rPr>
          <w:rFonts w:ascii="Times New Roman" w:hAnsi="Times New Roman" w:cs="Times New Roman"/>
          <w:sz w:val="24"/>
          <w:szCs w:val="24"/>
        </w:rPr>
        <w:t xml:space="preserve"> </w:t>
      </w:r>
      <w:r w:rsidR="000470C8">
        <w:rPr>
          <w:rFonts w:ascii="Times New Roman" w:hAnsi="Times New Roman" w:cs="Times New Roman"/>
          <w:sz w:val="24"/>
          <w:szCs w:val="24"/>
        </w:rPr>
        <w:t>P</w:t>
      </w:r>
      <w:r w:rsidRPr="003320BA">
        <w:rPr>
          <w:rFonts w:ascii="Times New Roman" w:hAnsi="Times New Roman" w:cs="Times New Roman"/>
          <w:sz w:val="24"/>
          <w:szCs w:val="24"/>
        </w:rPr>
        <w:t>ravilnom gnojidbom sprečava se i negativan utjecaj poljoprivrede na okoliš, a prvenstveno na emisiju stakleničkih plinova.</w:t>
      </w:r>
    </w:p>
    <w:p w14:paraId="7F1E2979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A14DF" w14:textId="0A53D77B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>Trošak mineralnih gnojiva u ukupnim varijabilnim troškovima proizvodnje različit je prema kategorijama poljopr</w:t>
      </w:r>
      <w:r w:rsidR="00144B40">
        <w:rPr>
          <w:rFonts w:ascii="Times New Roman" w:hAnsi="Times New Roman" w:cs="Times New Roman"/>
          <w:sz w:val="24"/>
          <w:szCs w:val="24"/>
        </w:rPr>
        <w:t xml:space="preserve">ivrednih kultura te u prosjeku </w:t>
      </w:r>
      <w:r w:rsidRPr="003320BA">
        <w:rPr>
          <w:rFonts w:ascii="Times New Roman" w:hAnsi="Times New Roman" w:cs="Times New Roman"/>
          <w:sz w:val="24"/>
          <w:szCs w:val="24"/>
        </w:rPr>
        <w:t>za žitarice iznosi 52 %, uljarice 45%, industrijsko bilje 30%, krmno bilje 60%.</w:t>
      </w:r>
    </w:p>
    <w:p w14:paraId="406F8A0D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E2CD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>Cijena gnojiva ne europskom i svjetskom tržištu u značajnom je porastu te je, prema podacima Europske komisije, u studenom 2021. godine bila za 165% viša od one prije godinu dana, odnosno za 19,2% od prosječne cijene u listopadu 2021.</w:t>
      </w:r>
    </w:p>
    <w:p w14:paraId="067C904B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3B19" w14:textId="136DAA74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 xml:space="preserve">Povećanje cijena gnojiva uzrokovano je većom potražnjom, porastom cijena inputa u proizvodnji gnojiva, ograničenjima u proizvodnji i trgovinskim politikama. Procjenjuje se </w:t>
      </w:r>
      <w:r w:rsidR="000470C8">
        <w:rPr>
          <w:rFonts w:ascii="Times New Roman" w:hAnsi="Times New Roman" w:cs="Times New Roman"/>
          <w:sz w:val="24"/>
          <w:szCs w:val="24"/>
        </w:rPr>
        <w:t>da će</w:t>
      </w:r>
      <w:r w:rsidRPr="003320BA">
        <w:rPr>
          <w:rFonts w:ascii="Times New Roman" w:hAnsi="Times New Roman" w:cs="Times New Roman"/>
          <w:sz w:val="24"/>
          <w:szCs w:val="24"/>
        </w:rPr>
        <w:t xml:space="preserve"> cijene gnojiva ostati na višoj razini i tijekom 2022. godine, a glavni uzroci tome su daljnji mogući poremećaji u opskrbi i okolišne politike koje ograničavaju upotrebu gnojiva.</w:t>
      </w:r>
    </w:p>
    <w:p w14:paraId="7DC03493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DED67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>Najveći skok cijene gnojiva vezan je uz porast cijene dušične komponente gnojiva koja je izravno vezana uz cijenu plina koji također bilježi rekordne poraste na svim tržištima.</w:t>
      </w:r>
    </w:p>
    <w:p w14:paraId="187967F4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5C5D3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>U Europi su zabilježene rekordne cijene plina, koje su dovele do smanjenja proizvodnje amonijaka, kao važne sirovine u proizvodnji dušičnih gnojiva, dok su u Kini porasle cijene ugljena, zbog čega su uvedene restrikcije u korištenju struje koje su uzrokovale smanjenje proizvodnje u nekim tvornicama. Rastu cijene uree doprinijelo je i privremeno ograničenje izvoza iz Kine, kako bi se osigurale dovoljne količine za njihove domaće potrebe. U SAD-u je proglašeno izvanredno stanje zbog uragana Ida, koji je između ostaloga oštetio tvornice dušika u pogođenom području. Rusija je nedavno uvela restrikcije na izvoz gnojiva na bazi dušika i fosfora, koje se primjenjuju od 1. prosinca 2021.</w:t>
      </w:r>
    </w:p>
    <w:p w14:paraId="02F604A1" w14:textId="77777777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78631" w14:textId="213106FA" w:rsidR="003320BA" w:rsidRPr="003320BA" w:rsidRDefault="003320BA" w:rsidP="0033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BA">
        <w:rPr>
          <w:rFonts w:ascii="Times New Roman" w:hAnsi="Times New Roman" w:cs="Times New Roman"/>
          <w:sz w:val="24"/>
          <w:szCs w:val="24"/>
        </w:rPr>
        <w:t xml:space="preserve">Cilj ovoga Programa je </w:t>
      </w:r>
      <w:r w:rsidR="00EB08E9">
        <w:rPr>
          <w:rFonts w:ascii="Times New Roman" w:hAnsi="Times New Roman" w:cs="Times New Roman"/>
          <w:sz w:val="24"/>
          <w:szCs w:val="24"/>
        </w:rPr>
        <w:t xml:space="preserve">poljoprivrednim proizvođačima </w:t>
      </w:r>
      <w:r w:rsidRPr="003320BA">
        <w:rPr>
          <w:rFonts w:ascii="Times New Roman" w:hAnsi="Times New Roman" w:cs="Times New Roman"/>
          <w:sz w:val="24"/>
          <w:szCs w:val="24"/>
        </w:rPr>
        <w:t xml:space="preserve">koji </w:t>
      </w:r>
      <w:r w:rsidR="00EB08E9">
        <w:rPr>
          <w:rFonts w:ascii="Times New Roman" w:hAnsi="Times New Roman" w:cs="Times New Roman"/>
          <w:sz w:val="24"/>
          <w:szCs w:val="24"/>
        </w:rPr>
        <w:t xml:space="preserve">nastavljaju poljoprivrednu proizvodnju u 2022. godini i </w:t>
      </w:r>
      <w:r w:rsidRPr="003320BA">
        <w:rPr>
          <w:rFonts w:ascii="Times New Roman" w:hAnsi="Times New Roman" w:cs="Times New Roman"/>
          <w:sz w:val="24"/>
          <w:szCs w:val="24"/>
        </w:rPr>
        <w:t xml:space="preserve">posebno su pogođeni porastom cijene gnojiva, osigurati određenu nadoknadu porasta cijene gnojiva kako bi se </w:t>
      </w:r>
      <w:r w:rsidR="00EB08E9">
        <w:rPr>
          <w:rFonts w:ascii="Times New Roman" w:hAnsi="Times New Roman" w:cs="Times New Roman"/>
          <w:sz w:val="24"/>
          <w:szCs w:val="24"/>
        </w:rPr>
        <w:t>osiguralo zadržavanje dosadašnje</w:t>
      </w:r>
      <w:r w:rsidRPr="003320BA">
        <w:rPr>
          <w:rFonts w:ascii="Times New Roman" w:hAnsi="Times New Roman" w:cs="Times New Roman"/>
          <w:sz w:val="24"/>
          <w:szCs w:val="24"/>
        </w:rPr>
        <w:t xml:space="preserve"> razin</w:t>
      </w:r>
      <w:r w:rsidR="00EB08E9">
        <w:rPr>
          <w:rFonts w:ascii="Times New Roman" w:hAnsi="Times New Roman" w:cs="Times New Roman"/>
          <w:sz w:val="24"/>
          <w:szCs w:val="24"/>
        </w:rPr>
        <w:t>e</w:t>
      </w:r>
      <w:r w:rsidRPr="003320BA">
        <w:rPr>
          <w:rFonts w:ascii="Times New Roman" w:hAnsi="Times New Roman" w:cs="Times New Roman"/>
          <w:sz w:val="24"/>
          <w:szCs w:val="24"/>
        </w:rPr>
        <w:t xml:space="preserve"> </w:t>
      </w:r>
      <w:r w:rsidR="00EB08E9">
        <w:rPr>
          <w:rFonts w:ascii="Times New Roman" w:hAnsi="Times New Roman" w:cs="Times New Roman"/>
          <w:sz w:val="24"/>
          <w:szCs w:val="24"/>
        </w:rPr>
        <w:t>poljoprivredne proizvodnje u Hrvatskoj.</w:t>
      </w:r>
    </w:p>
    <w:p w14:paraId="7B74DBF1" w14:textId="77777777" w:rsidR="00FC0727" w:rsidRPr="008018E9" w:rsidRDefault="00FC0727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D7E4DD" w14:textId="3F978857" w:rsidR="00EB08E9" w:rsidRDefault="002648DF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018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Potporom u okviru ovog Programa omogućit će se olakšano gospodarenje poljoprivrednicima u okviru nepovoljnih uvjeta </w:t>
      </w:r>
      <w:r w:rsidR="00EB08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nastalih izrazitim povećanjem cijena mineralnih gnojiva te osigurati zadržavanje razine poljoprivredne proizvodnje na razini prethodne godine.</w:t>
      </w:r>
    </w:p>
    <w:p w14:paraId="59039243" w14:textId="77777777" w:rsidR="00FC0727" w:rsidRDefault="00FC0727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9E3E58" w14:textId="5012E702" w:rsidR="00107FC0" w:rsidRPr="00FC0727" w:rsidRDefault="00107FC0" w:rsidP="00FC072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C07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PRAVNA OSNOVA</w:t>
      </w:r>
    </w:p>
    <w:p w14:paraId="6FCA8743" w14:textId="77777777" w:rsidR="00107FC0" w:rsidRPr="00107FC0" w:rsidRDefault="00107FC0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se donosi na temelju članka 39. Zakona o poljoprivredi („Narodne novine“, br.118/18., 42/20., 127/20. - Odluka Ustavnog suda Republike Hrvatske i 52/21).</w:t>
      </w:r>
    </w:p>
    <w:p w14:paraId="47B4189D" w14:textId="77777777" w:rsidR="00107FC0" w:rsidRPr="00107FC0" w:rsidRDefault="00107FC0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Potpora iz Programa dodjeljuje se u skladu s Uredbom Komisije (EZ) br. 1408/2013 od 18. prosinca 2013. o primjeni članaka 107. i 108. Ugovora o funkcioniranju Europske unije na potpore de </w:t>
      </w:r>
      <w:proofErr w:type="spellStart"/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minimis</w:t>
      </w:r>
      <w:proofErr w:type="spellEnd"/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poljoprivrednom sektoru (SL L 352, 24. prosinca 2013.) kako je izmijenjena Uredbom Komisije (EU) 2019/316 od 21. veljače 2019. o izmjeni Uredbe (EU) br. </w:t>
      </w: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1408/2013 o primjeni članaka 107. i 108. Ugovora o funkcioniranju Europske unije na potpore de </w:t>
      </w:r>
      <w:proofErr w:type="spellStart"/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minimis</w:t>
      </w:r>
      <w:proofErr w:type="spellEnd"/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poljoprivrednom sektoru (SL L 51I, 22.2.2019.)</w:t>
      </w:r>
    </w:p>
    <w:p w14:paraId="43F2FEA2" w14:textId="77777777" w:rsidR="00FC0727" w:rsidRDefault="00FC0727" w:rsidP="00FC0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5017A1" w14:textId="339F8A9B" w:rsidR="00107FC0" w:rsidRPr="00FC0727" w:rsidRDefault="00107FC0" w:rsidP="00FC0727">
      <w:pPr>
        <w:pStyle w:val="Odlomakpopisa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bookmarkStart w:id="1" w:name="_Hlk97278991"/>
      <w:r w:rsidRPr="00FC07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TRAJANJE PROGRAMA</w:t>
      </w:r>
    </w:p>
    <w:p w14:paraId="6D1F9C65" w14:textId="754F44A4" w:rsidR="00F309F4" w:rsidRDefault="00107FC0" w:rsidP="00F30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se provodi u 2022. </w:t>
      </w:r>
      <w:r w:rsidR="004579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2023. </w:t>
      </w: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godini.</w:t>
      </w:r>
    </w:p>
    <w:bookmarkEnd w:id="1"/>
    <w:p w14:paraId="2973D927" w14:textId="70BFBB7C" w:rsidR="00107FC0" w:rsidRPr="00F309F4" w:rsidRDefault="00107FC0" w:rsidP="00F30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7FC0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14:paraId="5C5E88A7" w14:textId="6D81085D" w:rsidR="00107FC0" w:rsidRPr="00FC0727" w:rsidRDefault="00107FC0" w:rsidP="00FC0727">
      <w:pPr>
        <w:pStyle w:val="Odlomakpopisa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FC07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CILJ PROGRAMA</w:t>
      </w:r>
    </w:p>
    <w:p w14:paraId="65F42FD2" w14:textId="7130EDF1" w:rsidR="00EB08E9" w:rsidRDefault="00EB08E9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08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Cilj ovoga Programa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zadržavanje poljoprivredne proizvodnje na razini prošle godine te osnaživanje poljoprivrednih proizvođača kroz određenu nadoknadu povećanja troškova proizvodnje nastalih porastom cijene mineralnih gnojiva.</w:t>
      </w:r>
    </w:p>
    <w:p w14:paraId="7E797A6B" w14:textId="77777777" w:rsidR="00EB08E9" w:rsidRDefault="00EB08E9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E4D773" w14:textId="59AE96E1" w:rsidR="00107FC0" w:rsidRPr="00FC0727" w:rsidRDefault="003D4004" w:rsidP="00FC072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PRIHVATLJIVE POVRŠINE</w:t>
      </w:r>
    </w:p>
    <w:p w14:paraId="6BB233DA" w14:textId="77777777" w:rsidR="003D4004" w:rsidRPr="003D4004" w:rsidRDefault="003D4004" w:rsidP="003D4004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potporu su prihvatljive proizvodne površine na kojima se proizvode poljoprivredne kulture i za koje je podnesen Jedinstveni zahtjev za potporu u 2021. godini. </w:t>
      </w:r>
    </w:p>
    <w:p w14:paraId="18189B6D" w14:textId="43CB325E" w:rsidR="006D6D46" w:rsidRDefault="003D4004" w:rsidP="00FC072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Minimalna prihvatljiva površina pod poljoprivrednim kulturama iznosi 1,0 ha te je za potporu prihvatljivo do prvih 20 ha poljoprivrednih površi</w:t>
      </w:r>
      <w:r w:rsidR="006D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poljoprivrednog gospodarstva na kojima se uzgaja jedna ili više</w:t>
      </w:r>
      <w:r w:rsidR="006D6D46" w:rsidRPr="006D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slijedećih skupina kultura: ratarske kulture, trajni nasadi, povrće, ukrasno bilje, ljekovito bilje.</w:t>
      </w:r>
    </w:p>
    <w:p w14:paraId="655827FF" w14:textId="77777777" w:rsidR="006D6D46" w:rsidRDefault="006D6D46" w:rsidP="00FC072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2936CA" w14:textId="0AFD9D0A" w:rsidR="00107FC0" w:rsidRPr="00FC0727" w:rsidRDefault="00107FC0" w:rsidP="00FC0727">
      <w:pPr>
        <w:pStyle w:val="Odlomakpopisa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C07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KORISNICI</w:t>
      </w:r>
    </w:p>
    <w:p w14:paraId="6D27CA7D" w14:textId="140D8E2D" w:rsidR="003D4004" w:rsidRDefault="00107FC0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potpore su poljoprivredni</w:t>
      </w:r>
      <w:r w:rsidR="00680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proizvođači</w:t>
      </w:r>
      <w:r w:rsidRPr="00107F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upisan</w:t>
      </w:r>
      <w:r w:rsidR="00FC07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u Upisnik poljoprivrednika, koji su</w:t>
      </w:r>
      <w:r w:rsidR="00680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podnijeli Jedinstveni zahtjev za potporu Agenciji za plaćanja u poljoprivredi, ribarstvu i ruralnom razvoju u 2021. godini</w:t>
      </w:r>
      <w:r w:rsidR="004555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sa poljopri</w:t>
      </w:r>
      <w:r w:rsid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vrednim površinama veličine 1</w:t>
      </w:r>
      <w:r w:rsidR="004555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ha i više </w:t>
      </w:r>
      <w:r w:rsidR="006D6D46" w:rsidRPr="006D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kojima se uzgaja jedna ili više slijedećih skupina kultura: ratarske kulture, trajni nasadi, povrće, ukrasno bilje, ljekovito bilje.</w:t>
      </w:r>
    </w:p>
    <w:p w14:paraId="74532347" w14:textId="77777777" w:rsidR="00BA7384" w:rsidRDefault="00BA7384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31B4C4" w14:textId="3A484211" w:rsidR="00BA7384" w:rsidRDefault="00BA7384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Korisnici potpore </w:t>
      </w:r>
      <w:r w:rsidR="00254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su, prilikom podnošenja zahtjeva za potporu iz ovoga Programa, dostaviti dokaz o kupnji mineralnog gnojiva u iznosu najmanje istom iznosu potpore na koji ostvaruju pravo u skladu s ovim Programom.</w:t>
      </w:r>
    </w:p>
    <w:p w14:paraId="671411B6" w14:textId="77777777" w:rsidR="006D6D46" w:rsidRDefault="006D6D46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CC7CB7" w14:textId="69849A1B" w:rsidR="003D4004" w:rsidRPr="003D4004" w:rsidRDefault="003D4004" w:rsidP="003D400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D4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OBLIK I NAČIN DODJELE POTPORE</w:t>
      </w:r>
    </w:p>
    <w:p w14:paraId="30AA3157" w14:textId="3F9542BA" w:rsidR="006D6D46" w:rsidRDefault="003D4004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Potpora se u skladu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Programom </w:t>
      </w: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dodjeljuje za poljoprivredna gospodarstva s poljoprivrednim površinama </w:t>
      </w:r>
      <w:r w:rsidR="006D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veličine 1 ha i više na kojima se uzgajaju ratarske kulture i/ili trajni nasadi i/ili povrće i/ili ukrasno bilje i/ili ljekovito bilje </w:t>
      </w: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podacima s Jedinstvenog zah</w:t>
      </w:r>
      <w:r w:rsidR="006D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tjeva za potporu u 2021. godini.</w:t>
      </w:r>
    </w:p>
    <w:p w14:paraId="528FA1FA" w14:textId="77777777" w:rsidR="006D6D46" w:rsidRDefault="006D6D46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1A3911" w14:textId="3F601CA2" w:rsidR="003D4004" w:rsidRDefault="006D6D46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Potpora se u skladu s ovim Programom dodjeljuje u iznosu od 450,00 kn/ha za prvih 10 ha poljoprivrednog gospodarstva te 250,00 kn/ha za preostalih 10 ha poljoprivrednog gospodarstva, do ukupno 20 ha površina poljoprivrednog gospodarstva.</w:t>
      </w:r>
    </w:p>
    <w:p w14:paraId="31E306AE" w14:textId="08764021" w:rsidR="006D6D46" w:rsidRDefault="006D6D46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0C0045" w14:textId="239FF008" w:rsidR="003D4004" w:rsidRDefault="003D4004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40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Agencija za plaćanja u poljoprivredi, ribarstvu i ruralnom razvoju (dalje u tekstu: Agencija za plaćanja) na temelju podataka iz dostupnih registara obavlja administrativnu obradu zahtjeva za potporu.</w:t>
      </w:r>
    </w:p>
    <w:p w14:paraId="49C837BA" w14:textId="210EA5BA" w:rsidR="0025479F" w:rsidRDefault="0025479F" w:rsidP="003D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93B9BB" w14:textId="222AA912" w:rsidR="00107FC0" w:rsidRPr="00FC0727" w:rsidRDefault="00107FC0" w:rsidP="00FC072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C07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PRORAČUN ZA PROVEDBU PROGRAMA</w:t>
      </w:r>
    </w:p>
    <w:p w14:paraId="2DC22D84" w14:textId="201FABF9" w:rsidR="00FC0727" w:rsidRDefault="00FC0727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DB19F5" w14:textId="6EA11C38" w:rsidR="00F435B2" w:rsidRPr="00F435B2" w:rsidRDefault="00F435B2" w:rsidP="00F4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35B2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Programa osigurana su financijska sredstva u Državnom proračunu Republike Hrvatske za 2022. i projekcijama za 2023. i 2024. godinu u iznosu od 200.000.000,00 kuna, u okviru razdjela 060 Ministarstva poljoprivrede.</w:t>
      </w:r>
    </w:p>
    <w:p w14:paraId="1C71536F" w14:textId="77777777" w:rsidR="00F435B2" w:rsidRDefault="00F435B2" w:rsidP="00F4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5301E" w14:textId="0D2696BC" w:rsidR="00F435B2" w:rsidRDefault="00F435B2" w:rsidP="00F4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35B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Potpora u skladu s ovim Programom u iznosu od ukupno 150.000.000,00 kuna biti će isplaćena u 2022. godini dok će na preostali iznos korisnici potpore ostvariti pravo u 2023. godini, po provedenoj administrativnoj obradi zahtjeva za potporu iz ovoga Programa.</w:t>
      </w:r>
    </w:p>
    <w:p w14:paraId="56F13A6F" w14:textId="77777777" w:rsidR="00F435B2" w:rsidRPr="00306CAD" w:rsidRDefault="00F435B2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77CBD" w14:textId="278C24D1" w:rsidR="00107FC0" w:rsidRPr="00306CAD" w:rsidRDefault="00107FC0" w:rsidP="00FC072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C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PROVEDBA PROGRAMA</w:t>
      </w:r>
    </w:p>
    <w:p w14:paraId="59A52105" w14:textId="29D80904" w:rsidR="00107FC0" w:rsidRPr="00306CAD" w:rsidRDefault="00107FC0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CAD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ovoga Programa propisat će se Pravilnikom, a provodit će ga Agencija za plaćanja</w:t>
      </w:r>
      <w:r w:rsidR="0019477D" w:rsidRPr="00306CA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F3ABDC" w14:textId="77777777" w:rsidR="00FC0727" w:rsidRPr="00FC0727" w:rsidRDefault="00FC0727" w:rsidP="00FC0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FC0727" w:rsidRPr="00FC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4F9F"/>
    <w:multiLevelType w:val="hybridMultilevel"/>
    <w:tmpl w:val="360E13AA"/>
    <w:lvl w:ilvl="0" w:tplc="B1360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84"/>
    <w:rsid w:val="000107D0"/>
    <w:rsid w:val="000470C8"/>
    <w:rsid w:val="000B6A78"/>
    <w:rsid w:val="00107FC0"/>
    <w:rsid w:val="00144B40"/>
    <w:rsid w:val="00146EE1"/>
    <w:rsid w:val="00163B15"/>
    <w:rsid w:val="0019477D"/>
    <w:rsid w:val="001E6D5D"/>
    <w:rsid w:val="002421DD"/>
    <w:rsid w:val="0025479F"/>
    <w:rsid w:val="002648DF"/>
    <w:rsid w:val="00287541"/>
    <w:rsid w:val="00306CAD"/>
    <w:rsid w:val="00316506"/>
    <w:rsid w:val="003320BA"/>
    <w:rsid w:val="003820A3"/>
    <w:rsid w:val="003D4004"/>
    <w:rsid w:val="0045558B"/>
    <w:rsid w:val="004579C4"/>
    <w:rsid w:val="00516301"/>
    <w:rsid w:val="0053678E"/>
    <w:rsid w:val="00553E69"/>
    <w:rsid w:val="005912CB"/>
    <w:rsid w:val="005D5B84"/>
    <w:rsid w:val="00673B15"/>
    <w:rsid w:val="00680C65"/>
    <w:rsid w:val="006D6D46"/>
    <w:rsid w:val="007B2497"/>
    <w:rsid w:val="008018E9"/>
    <w:rsid w:val="0082261E"/>
    <w:rsid w:val="00840BD2"/>
    <w:rsid w:val="00860E4F"/>
    <w:rsid w:val="00952D5A"/>
    <w:rsid w:val="00963EAE"/>
    <w:rsid w:val="00966517"/>
    <w:rsid w:val="009A680C"/>
    <w:rsid w:val="009C1F0E"/>
    <w:rsid w:val="009C206C"/>
    <w:rsid w:val="009C6CE6"/>
    <w:rsid w:val="00A154C8"/>
    <w:rsid w:val="00A57D84"/>
    <w:rsid w:val="00A64311"/>
    <w:rsid w:val="00A878AD"/>
    <w:rsid w:val="00AC6B32"/>
    <w:rsid w:val="00B37A9D"/>
    <w:rsid w:val="00B46F8A"/>
    <w:rsid w:val="00B50EA8"/>
    <w:rsid w:val="00B7019C"/>
    <w:rsid w:val="00B84C9D"/>
    <w:rsid w:val="00BA7384"/>
    <w:rsid w:val="00C1671E"/>
    <w:rsid w:val="00C367AB"/>
    <w:rsid w:val="00C8417B"/>
    <w:rsid w:val="00CA55ED"/>
    <w:rsid w:val="00CE0FFB"/>
    <w:rsid w:val="00DA22A1"/>
    <w:rsid w:val="00E840C5"/>
    <w:rsid w:val="00E9342C"/>
    <w:rsid w:val="00EB08E9"/>
    <w:rsid w:val="00ED17EF"/>
    <w:rsid w:val="00F309F4"/>
    <w:rsid w:val="00F435B2"/>
    <w:rsid w:val="00F62DB7"/>
    <w:rsid w:val="00F71A0B"/>
    <w:rsid w:val="00FC0727"/>
    <w:rsid w:val="00FC3727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DC01"/>
  <w15:chartTrackingRefBased/>
  <w15:docId w15:val="{6F034A31-DF74-4E1A-A67E-F5248B3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">
    <w:name w:val="bezproreda"/>
    <w:basedOn w:val="Normal"/>
    <w:rsid w:val="00107FC0"/>
    <w:pPr>
      <w:spacing w:before="100" w:beforeAutospacing="1"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107FC0"/>
    <w:pPr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03">
    <w:name w:val="normal-000003"/>
    <w:basedOn w:val="Normal"/>
    <w:rsid w:val="00107FC0"/>
    <w:pPr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05">
    <w:name w:val="normal-000005"/>
    <w:basedOn w:val="Normal"/>
    <w:rsid w:val="00107FC0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07">
    <w:name w:val="normal-000007"/>
    <w:basedOn w:val="Normal"/>
    <w:rsid w:val="00107FC0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rsid w:val="00107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10">
    <w:name w:val="normal-000010"/>
    <w:basedOn w:val="Normal"/>
    <w:rsid w:val="00107FC0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12">
    <w:name w:val="normal-000012"/>
    <w:basedOn w:val="Normal"/>
    <w:rsid w:val="00107FC0"/>
    <w:pPr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02">
    <w:name w:val="zadanifontodlomka-000002"/>
    <w:rsid w:val="00107FC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4">
    <w:name w:val="000004"/>
    <w:rsid w:val="00107FC0"/>
    <w:rPr>
      <w:b/>
      <w:bCs/>
      <w:sz w:val="24"/>
      <w:szCs w:val="24"/>
    </w:rPr>
  </w:style>
  <w:style w:type="character" w:customStyle="1" w:styleId="zadanifontodlomka-000008">
    <w:name w:val="zadanifontodlomka-000008"/>
    <w:rsid w:val="00107FC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11">
    <w:name w:val="000011"/>
    <w:rsid w:val="00107FC0"/>
    <w:rPr>
      <w:b/>
      <w:bCs/>
      <w:color w:val="365F91"/>
      <w:sz w:val="24"/>
      <w:szCs w:val="24"/>
    </w:rPr>
  </w:style>
  <w:style w:type="table" w:styleId="Reetkatablice">
    <w:name w:val="Table Grid"/>
    <w:basedOn w:val="Obinatablica"/>
    <w:uiPriority w:val="39"/>
    <w:rsid w:val="00E8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8E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018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18E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18E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18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18E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01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699">
                  <w:marLeft w:val="18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24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0479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1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8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538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0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7082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6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34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984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2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1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2147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29487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5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1211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5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402">
                                      <w:marLeft w:val="-18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73872">
          <w:marLeft w:val="0"/>
          <w:marRight w:val="0"/>
          <w:marTop w:val="0"/>
          <w:marBottom w:val="0"/>
          <w:divBdr>
            <w:top w:val="single" w:sz="6" w:space="0" w:color="E83F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699165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Zokić</dc:creator>
  <cp:keywords/>
  <dc:description/>
  <cp:lastModifiedBy>Sanja Krnić</cp:lastModifiedBy>
  <cp:revision>2</cp:revision>
  <dcterms:created xsi:type="dcterms:W3CDTF">2022-03-10T13:49:00Z</dcterms:created>
  <dcterms:modified xsi:type="dcterms:W3CDTF">2022-03-10T13:49:00Z</dcterms:modified>
</cp:coreProperties>
</file>