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085" w:rsidRDefault="00B36085" w:rsidP="00B360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  <w:r>
        <w:rPr>
          <w:rFonts w:ascii="Times New Roman" w:hAnsi="Times New Roman" w:cs="Times New Roman"/>
          <w:b/>
          <w:sz w:val="24"/>
          <w:szCs w:val="24"/>
        </w:rPr>
        <w:t>AGENCIJE ZA PLAĆANJA U POLJOPRIVREDI, RIBARSTVU I RURALNOM RAZVOJU</w:t>
      </w:r>
    </w:p>
    <w:p w:rsidR="00B36085" w:rsidRPr="00624C16" w:rsidRDefault="00B36085" w:rsidP="00B3608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6085" w:rsidRDefault="00B36085" w:rsidP="00B360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5080">
        <w:rPr>
          <w:rFonts w:ascii="Times New Roman" w:hAnsi="Times New Roman" w:cs="Times New Roman"/>
          <w:sz w:val="24"/>
          <w:szCs w:val="24"/>
        </w:rPr>
        <w:t xml:space="preserve">Sukladno članku 36. </w:t>
      </w:r>
      <w:r>
        <w:rPr>
          <w:rFonts w:ascii="Times New Roman" w:hAnsi="Times New Roman" w:cs="Times New Roman"/>
          <w:sz w:val="24"/>
          <w:szCs w:val="24"/>
        </w:rPr>
        <w:t xml:space="preserve">novog </w:t>
      </w:r>
      <w:r w:rsidRPr="00605080">
        <w:rPr>
          <w:rFonts w:ascii="Times New Roman" w:hAnsi="Times New Roman" w:cs="Times New Roman"/>
          <w:sz w:val="24"/>
          <w:szCs w:val="24"/>
        </w:rPr>
        <w:t xml:space="preserve">Zakona o proračunu (NN 144/21) </w:t>
      </w:r>
      <w:r>
        <w:rPr>
          <w:rFonts w:ascii="Times New Roman" w:hAnsi="Times New Roman" w:cs="Times New Roman"/>
          <w:sz w:val="24"/>
          <w:szCs w:val="24"/>
        </w:rPr>
        <w:t xml:space="preserve">u ovom obrazloženju daje se opća slika financijskog plana Agencije za plaćanja u poljoprivredi, ribarstvu i ruralnom razvoju kroz obrazloženje ukupnih prihoda, primitaka, rashoda, prijenosa sredstava iz prethodne i u sljedeću godinu, te stanje ukupnih i dospjelih obveza. </w:t>
      </w:r>
    </w:p>
    <w:p w:rsidR="00B36085" w:rsidRDefault="00B36085" w:rsidP="00B360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Agencija za plaćanja u poljoprivredi, ribarstvu i ruralnom razvoju u narednom trogodišnjem razdoblju 2024. – 2026.g. planira ostvarivanje prihoda iz slijedećih izvora:</w:t>
      </w:r>
    </w:p>
    <w:p w:rsidR="00B36085" w:rsidRPr="00B36085" w:rsidRDefault="00B36085" w:rsidP="00B3608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76">
        <w:rPr>
          <w:rFonts w:ascii="Times New Roman" w:hAnsi="Times New Roman" w:cs="Times New Roman"/>
          <w:sz w:val="24"/>
          <w:szCs w:val="24"/>
          <w:u w:val="single"/>
        </w:rPr>
        <w:t>Izvor 51</w:t>
      </w:r>
      <w:r>
        <w:rPr>
          <w:rFonts w:ascii="Times New Roman" w:hAnsi="Times New Roman" w:cs="Times New Roman"/>
          <w:sz w:val="24"/>
          <w:szCs w:val="24"/>
        </w:rPr>
        <w:t xml:space="preserve"> – Pomoći EU – odnosi se refundaciju putnih troškova od strane Europske komisije. Ti prihodi su planirani u svim godinama u istom iznosu od 21.236 EUR-a. </w:t>
      </w:r>
      <w:r w:rsidRPr="00B36085">
        <w:rPr>
          <w:rFonts w:ascii="Times New Roman" w:hAnsi="Times New Roman" w:cs="Times New Roman"/>
          <w:sz w:val="24"/>
          <w:szCs w:val="24"/>
        </w:rPr>
        <w:t>U 2025.g. Agencija planira organizaciju Panta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Rhei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ICT. To je radna grupa koju čine predstavnici ICT stručnjaka Agencija za plaćanja EU. Dva puta godišnje or</w:t>
      </w:r>
      <w:r w:rsidR="002D3097">
        <w:rPr>
          <w:rFonts w:ascii="Times New Roman" w:hAnsi="Times New Roman" w:cs="Times New Roman"/>
          <w:sz w:val="24"/>
          <w:szCs w:val="24"/>
        </w:rPr>
        <w:t>ga</w:t>
      </w:r>
      <w:r>
        <w:rPr>
          <w:rFonts w:ascii="Times New Roman" w:hAnsi="Times New Roman" w:cs="Times New Roman"/>
          <w:sz w:val="24"/>
          <w:szCs w:val="24"/>
        </w:rPr>
        <w:t xml:space="preserve">niziraju se konferencije na kojima osim zemlja članica sudjeluju predstavnici Europske komisije i Europskog revizorskog suda. Države članice plaćaju godišnju članarinu od 4.000 EUR-a te iz toga Europska komisija sufinancira organizaciju konferencije u iznosu </w:t>
      </w:r>
      <w:r w:rsidR="008423FB">
        <w:rPr>
          <w:rFonts w:ascii="Times New Roman" w:hAnsi="Times New Roman" w:cs="Times New Roman"/>
          <w:sz w:val="24"/>
          <w:szCs w:val="24"/>
        </w:rPr>
        <w:t>od 60.000</w:t>
      </w:r>
      <w:r>
        <w:rPr>
          <w:rFonts w:ascii="Times New Roman" w:hAnsi="Times New Roman" w:cs="Times New Roman"/>
          <w:sz w:val="24"/>
          <w:szCs w:val="24"/>
        </w:rPr>
        <w:t xml:space="preserve"> EUR-a</w:t>
      </w:r>
      <w:r w:rsidR="008423FB">
        <w:rPr>
          <w:rFonts w:ascii="Times New Roman" w:hAnsi="Times New Roman" w:cs="Times New Roman"/>
          <w:sz w:val="24"/>
          <w:szCs w:val="24"/>
        </w:rPr>
        <w:t>. Stoga je za tu namjenu u 2025.g. planirano 60.000 EUR-a na izvoru 51 odnosno ukupno 81.236 EUR-a</w:t>
      </w:r>
    </w:p>
    <w:p w:rsidR="00B36085" w:rsidRDefault="00B36085" w:rsidP="00405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BCD">
        <w:rPr>
          <w:rFonts w:ascii="Times New Roman" w:hAnsi="Times New Roman" w:cs="Times New Roman"/>
          <w:sz w:val="24"/>
          <w:szCs w:val="24"/>
          <w:u w:val="single"/>
        </w:rPr>
        <w:t>Izvor 52</w:t>
      </w:r>
      <w:r w:rsidRPr="00767BCD">
        <w:rPr>
          <w:rFonts w:ascii="Times New Roman" w:hAnsi="Times New Roman" w:cs="Times New Roman"/>
          <w:sz w:val="24"/>
          <w:szCs w:val="24"/>
        </w:rPr>
        <w:t xml:space="preserve"> – Ostale pomoći – odnosi se na prijenos sredstava od strane MINGOR-a za realizaciju projekta Hrvatski zemljišni informacijski sustav CROLIS (program LIFE). Za provedbu ovog projekta, Ministarstvo gospodarstva i održivog razvoja je u rujnu 2020. godine sklopilo ugovor s Europskom komisijom, odnosno Agencijom za malo i srednje poduzetništvo, a partneri na projektu su Hrvatske šume d.o.o., Državna geodetska uprava, Agencija za plaćanje u poljoprivredi, ribarstvu i ruralnom razvoju i </w:t>
      </w:r>
      <w:proofErr w:type="spellStart"/>
      <w:r w:rsidRPr="00767BCD">
        <w:rPr>
          <w:rFonts w:ascii="Times New Roman" w:hAnsi="Times New Roman" w:cs="Times New Roman"/>
          <w:sz w:val="24"/>
          <w:szCs w:val="24"/>
        </w:rPr>
        <w:t>Ekonerg</w:t>
      </w:r>
      <w:proofErr w:type="spellEnd"/>
      <w:r w:rsidRPr="00767BCD">
        <w:rPr>
          <w:rFonts w:ascii="Times New Roman" w:hAnsi="Times New Roman" w:cs="Times New Roman"/>
          <w:sz w:val="24"/>
          <w:szCs w:val="24"/>
        </w:rPr>
        <w:t xml:space="preserve"> d.o.o. Posljednja isplata planirana je za 2024.g. kada se planira konačan obračun projekta. Provedba projekta trajat će do 30.04.2024.g. te stog u 2025.g. nisu planirana sredstva iz ovog izvora. </w:t>
      </w:r>
      <w:r w:rsidR="008423FB">
        <w:rPr>
          <w:rFonts w:ascii="Times New Roman" w:hAnsi="Times New Roman" w:cs="Times New Roman"/>
          <w:sz w:val="24"/>
          <w:szCs w:val="24"/>
        </w:rPr>
        <w:t xml:space="preserve">U 2024.g. Ministarstvo gospodarstva i održivog razvoja planira Agenciji za plaćanja </w:t>
      </w:r>
      <w:r w:rsidR="005F58C2">
        <w:rPr>
          <w:rFonts w:ascii="Times New Roman" w:hAnsi="Times New Roman" w:cs="Times New Roman"/>
          <w:sz w:val="24"/>
          <w:szCs w:val="24"/>
        </w:rPr>
        <w:t>prenijeti</w:t>
      </w:r>
      <w:r w:rsidR="008423FB">
        <w:rPr>
          <w:rFonts w:ascii="Times New Roman" w:hAnsi="Times New Roman" w:cs="Times New Roman"/>
          <w:sz w:val="24"/>
          <w:szCs w:val="24"/>
        </w:rPr>
        <w:t xml:space="preserve"> ukupno </w:t>
      </w:r>
      <w:r w:rsidR="00083D14">
        <w:rPr>
          <w:rFonts w:ascii="Times New Roman" w:hAnsi="Times New Roman" w:cs="Times New Roman"/>
          <w:sz w:val="24"/>
          <w:szCs w:val="24"/>
        </w:rPr>
        <w:t>555.817 EUR-a od čega 449.789 EUR-a iz programa LIFE i 106.028 iz Fonda za zaštitu okoliša i energetsku učinkovitost.</w:t>
      </w:r>
      <w:r w:rsidR="00405102">
        <w:rPr>
          <w:rFonts w:ascii="Times New Roman" w:hAnsi="Times New Roman" w:cs="Times New Roman"/>
          <w:sz w:val="24"/>
          <w:szCs w:val="24"/>
        </w:rPr>
        <w:t xml:space="preserve"> Od 2025.g. aktivnost T841008 trebala bi postati redovna aktivnost Agencije za plaćanja koja će se financirati iz nadležnog proračuna. </w:t>
      </w:r>
    </w:p>
    <w:p w:rsidR="00405102" w:rsidRPr="00405102" w:rsidRDefault="00405102" w:rsidP="004051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102" w:rsidRPr="00405102" w:rsidRDefault="00B36085" w:rsidP="0040510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0E76">
        <w:rPr>
          <w:rFonts w:ascii="Times New Roman" w:hAnsi="Times New Roman" w:cs="Times New Roman"/>
          <w:sz w:val="24"/>
          <w:szCs w:val="24"/>
          <w:u w:val="single"/>
        </w:rPr>
        <w:t>Izvor 564</w:t>
      </w:r>
      <w:r>
        <w:rPr>
          <w:rFonts w:ascii="Times New Roman" w:hAnsi="Times New Roman" w:cs="Times New Roman"/>
          <w:sz w:val="24"/>
          <w:szCs w:val="24"/>
        </w:rPr>
        <w:t xml:space="preserve"> – Europski fond za pomorstvo i ribarstvo – </w:t>
      </w:r>
      <w:r w:rsidRPr="00FB500B">
        <w:rPr>
          <w:rFonts w:ascii="Times New Roman" w:hAnsi="Times New Roman" w:cs="Times New Roman"/>
          <w:sz w:val="24"/>
          <w:szCs w:val="24"/>
        </w:rPr>
        <w:t>aktivnosti u vezi s pripremom, praćenjem, administrativnom i tehničkom potporom, ocjenjivanjem, revizijom i kontrolom koje su potrebne za provedbu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6A78">
        <w:rPr>
          <w:rFonts w:ascii="Times New Roman" w:hAnsi="Times New Roman" w:cs="Times New Roman"/>
          <w:sz w:val="24"/>
          <w:szCs w:val="24"/>
        </w:rPr>
        <w:t>Uredbe (EU) br. 1303/2013 Europskog parlamenta i Vijeća od 17. prosinca 2013.)</w:t>
      </w:r>
      <w:r w:rsidRPr="00FB50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Sredstva potpore osiguravaju se u omjeru </w:t>
      </w:r>
      <w:r w:rsidR="00083D14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 (sredstva Fonda):</w:t>
      </w:r>
      <w:r w:rsidR="00083D14">
        <w:rPr>
          <w:rFonts w:ascii="Times New Roman" w:hAnsi="Times New Roman" w:cs="Times New Roman"/>
          <w:sz w:val="24"/>
          <w:szCs w:val="24"/>
        </w:rPr>
        <w:t xml:space="preserve">30 </w:t>
      </w:r>
      <w:r>
        <w:rPr>
          <w:rFonts w:ascii="Times New Roman" w:hAnsi="Times New Roman" w:cs="Times New Roman"/>
          <w:sz w:val="24"/>
          <w:szCs w:val="24"/>
        </w:rPr>
        <w:t>(državni proračun RH). Sredstva planirana na ovom izvoru u svim godinama 202</w:t>
      </w:r>
      <w:r w:rsidR="00083D1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083D1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iznose ukupno </w:t>
      </w:r>
      <w:r w:rsidR="00083D14">
        <w:rPr>
          <w:rFonts w:ascii="Times New Roman" w:hAnsi="Times New Roman" w:cs="Times New Roman"/>
          <w:sz w:val="24"/>
          <w:szCs w:val="24"/>
        </w:rPr>
        <w:t>234978 EUR-a u 2024.g. i po 226.1782 EUR-a u 2025. i 2026.g..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5102" w:rsidRDefault="00B36085" w:rsidP="004051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76">
        <w:rPr>
          <w:rFonts w:ascii="Times New Roman" w:hAnsi="Times New Roman" w:cs="Times New Roman"/>
          <w:sz w:val="24"/>
          <w:szCs w:val="24"/>
          <w:u w:val="single"/>
        </w:rPr>
        <w:t>Izvor 565</w:t>
      </w:r>
      <w:r w:rsidRPr="00AC0E76">
        <w:rPr>
          <w:rFonts w:ascii="Times New Roman" w:hAnsi="Times New Roman" w:cs="Times New Roman"/>
          <w:sz w:val="24"/>
          <w:szCs w:val="24"/>
        </w:rPr>
        <w:t xml:space="preserve"> – Europski poljoprivredni fond za ruralni razvoj - Sukladno Programu korisnici mjere TP su Ministarstvo poljoprivrede (Upravlja</w:t>
      </w:r>
      <w:r w:rsidRPr="00AC0E76">
        <w:rPr>
          <w:rFonts w:ascii="Times New Roman" w:hAnsi="Times New Roman" w:cs="Times New Roman" w:hint="eastAsia"/>
          <w:sz w:val="24"/>
          <w:szCs w:val="24"/>
        </w:rPr>
        <w:t>č</w:t>
      </w:r>
      <w:r w:rsidRPr="00AC0E76">
        <w:rPr>
          <w:rFonts w:ascii="Times New Roman" w:hAnsi="Times New Roman" w:cs="Times New Roman"/>
          <w:sz w:val="24"/>
          <w:szCs w:val="24"/>
        </w:rPr>
        <w:t>ko tijelo i odre</w:t>
      </w:r>
      <w:r w:rsidRPr="00AC0E76">
        <w:rPr>
          <w:rFonts w:ascii="Times New Roman" w:hAnsi="Times New Roman" w:cs="Times New Roman" w:hint="eastAsia"/>
          <w:sz w:val="24"/>
          <w:szCs w:val="24"/>
        </w:rPr>
        <w:t>đ</w:t>
      </w:r>
      <w:r w:rsidRPr="00AC0E76">
        <w:rPr>
          <w:rFonts w:ascii="Times New Roman" w:hAnsi="Times New Roman" w:cs="Times New Roman"/>
          <w:sz w:val="24"/>
          <w:szCs w:val="24"/>
        </w:rPr>
        <w:t>eni slu</w:t>
      </w:r>
      <w:r w:rsidRPr="00AC0E76">
        <w:rPr>
          <w:rFonts w:ascii="Times New Roman" w:hAnsi="Times New Roman" w:cs="Times New Roman" w:hint="eastAsia"/>
          <w:sz w:val="24"/>
          <w:szCs w:val="24"/>
        </w:rPr>
        <w:t>ž</w:t>
      </w:r>
      <w:r w:rsidRPr="00AC0E76">
        <w:rPr>
          <w:rFonts w:ascii="Times New Roman" w:hAnsi="Times New Roman" w:cs="Times New Roman"/>
          <w:sz w:val="24"/>
          <w:szCs w:val="24"/>
        </w:rPr>
        <w:t>benici drugih organizacijskih jedinica Ministarstva poljoprivrede koje obavljaju dio poslova vezanih uz pripremu za novo programsko razdoblje te organizacijska jedinica nadle</w:t>
      </w:r>
      <w:r w:rsidRPr="00AC0E76">
        <w:rPr>
          <w:rFonts w:ascii="Times New Roman" w:hAnsi="Times New Roman" w:cs="Times New Roman" w:hint="eastAsia"/>
          <w:sz w:val="24"/>
          <w:szCs w:val="24"/>
        </w:rPr>
        <w:t>ž</w:t>
      </w:r>
      <w:r w:rsidRPr="00AC0E76">
        <w:rPr>
          <w:rFonts w:ascii="Times New Roman" w:hAnsi="Times New Roman" w:cs="Times New Roman"/>
          <w:sz w:val="24"/>
          <w:szCs w:val="24"/>
        </w:rPr>
        <w:t>na za poslove akreditacije Agencije za pla</w:t>
      </w:r>
      <w:r w:rsidRPr="00AC0E76">
        <w:rPr>
          <w:rFonts w:ascii="Times New Roman" w:hAnsi="Times New Roman" w:cs="Times New Roman" w:hint="eastAsia"/>
          <w:sz w:val="24"/>
          <w:szCs w:val="24"/>
        </w:rPr>
        <w:t>ć</w:t>
      </w:r>
      <w:r w:rsidRPr="00AC0E76">
        <w:rPr>
          <w:rFonts w:ascii="Times New Roman" w:hAnsi="Times New Roman" w:cs="Times New Roman"/>
          <w:sz w:val="24"/>
          <w:szCs w:val="24"/>
        </w:rPr>
        <w:t>anja) i Agencija za pla</w:t>
      </w:r>
      <w:r w:rsidRPr="00AC0E76">
        <w:rPr>
          <w:rFonts w:ascii="Times New Roman" w:hAnsi="Times New Roman" w:cs="Times New Roman" w:hint="eastAsia"/>
          <w:sz w:val="24"/>
          <w:szCs w:val="24"/>
        </w:rPr>
        <w:t>ć</w:t>
      </w:r>
      <w:r w:rsidRPr="00AC0E76">
        <w:rPr>
          <w:rFonts w:ascii="Times New Roman" w:hAnsi="Times New Roman" w:cs="Times New Roman"/>
          <w:sz w:val="24"/>
          <w:szCs w:val="24"/>
        </w:rPr>
        <w:t>anja. Za sedmogodi</w:t>
      </w:r>
      <w:r w:rsidRPr="00AC0E76">
        <w:rPr>
          <w:rFonts w:ascii="Times New Roman" w:hAnsi="Times New Roman" w:cs="Times New Roman" w:hint="eastAsia"/>
          <w:sz w:val="24"/>
          <w:szCs w:val="24"/>
        </w:rPr>
        <w:t>š</w:t>
      </w:r>
      <w:r w:rsidRPr="00AC0E76">
        <w:rPr>
          <w:rFonts w:ascii="Times New Roman" w:hAnsi="Times New Roman" w:cs="Times New Roman"/>
          <w:sz w:val="24"/>
          <w:szCs w:val="24"/>
        </w:rPr>
        <w:t xml:space="preserve">nje razdoblje, sukladno Programu, Hrvatska na raspolaganju ima (zajedno EU i RH udjel) 48.914.041,24 EUR, odnosno 371.746.713,42 HRK. Ova ukupno alocirana sredstva podijeljena su na </w:t>
      </w:r>
      <w:r w:rsidRPr="00AC0E76">
        <w:rPr>
          <w:rFonts w:ascii="Times New Roman" w:hAnsi="Times New Roman" w:cs="Times New Roman" w:hint="eastAsia"/>
          <w:sz w:val="24"/>
          <w:szCs w:val="24"/>
        </w:rPr>
        <w:t>š</w:t>
      </w:r>
      <w:r w:rsidRPr="00AC0E76">
        <w:rPr>
          <w:rFonts w:ascii="Times New Roman" w:hAnsi="Times New Roman" w:cs="Times New Roman"/>
          <w:sz w:val="24"/>
          <w:szCs w:val="24"/>
        </w:rPr>
        <w:t>est godina provedbe mjere TP. Sredstva potpore osiguravaju se iz prora</w:t>
      </w:r>
      <w:r w:rsidRPr="00AC0E76">
        <w:rPr>
          <w:rFonts w:ascii="Times New Roman" w:hAnsi="Times New Roman" w:cs="Times New Roman" w:hint="eastAsia"/>
          <w:sz w:val="24"/>
          <w:szCs w:val="24"/>
        </w:rPr>
        <w:t>č</w:t>
      </w:r>
      <w:r w:rsidRPr="00AC0E76">
        <w:rPr>
          <w:rFonts w:ascii="Times New Roman" w:hAnsi="Times New Roman" w:cs="Times New Roman"/>
          <w:sz w:val="24"/>
          <w:szCs w:val="24"/>
        </w:rPr>
        <w:t>una Europske unije (85% udjela) i dr</w:t>
      </w:r>
      <w:r w:rsidRPr="00AC0E76">
        <w:rPr>
          <w:rFonts w:ascii="Times New Roman" w:hAnsi="Times New Roman" w:cs="Times New Roman" w:hint="eastAsia"/>
          <w:sz w:val="24"/>
          <w:szCs w:val="24"/>
        </w:rPr>
        <w:t>ž</w:t>
      </w:r>
      <w:r w:rsidRPr="00AC0E76">
        <w:rPr>
          <w:rFonts w:ascii="Times New Roman" w:hAnsi="Times New Roman" w:cs="Times New Roman"/>
          <w:sz w:val="24"/>
          <w:szCs w:val="24"/>
        </w:rPr>
        <w:t>avnog prora</w:t>
      </w:r>
      <w:r w:rsidRPr="00AC0E76">
        <w:rPr>
          <w:rFonts w:ascii="Times New Roman" w:hAnsi="Times New Roman" w:cs="Times New Roman" w:hint="eastAsia"/>
          <w:sz w:val="24"/>
          <w:szCs w:val="24"/>
        </w:rPr>
        <w:t>č</w:t>
      </w:r>
      <w:r w:rsidRPr="00AC0E76">
        <w:rPr>
          <w:rFonts w:ascii="Times New Roman" w:hAnsi="Times New Roman" w:cs="Times New Roman"/>
          <w:sz w:val="24"/>
          <w:szCs w:val="24"/>
        </w:rPr>
        <w:t>una</w:t>
      </w:r>
    </w:p>
    <w:p w:rsidR="00B36085" w:rsidRPr="00405102" w:rsidRDefault="00B36085" w:rsidP="0040510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05102">
        <w:rPr>
          <w:rFonts w:ascii="Times New Roman" w:hAnsi="Times New Roman" w:cs="Times New Roman"/>
          <w:sz w:val="24"/>
          <w:szCs w:val="24"/>
        </w:rPr>
        <w:lastRenderedPageBreak/>
        <w:t>Republike Hrvatske (15% udjela). Intenzitet potpore iznosi do 100% od ukupnih prihvatljivih troškova.</w:t>
      </w:r>
    </w:p>
    <w:p w:rsidR="00405102" w:rsidRPr="00405102" w:rsidRDefault="00405102" w:rsidP="004051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2025.g. </w:t>
      </w:r>
      <w:r w:rsidRPr="00405102">
        <w:rPr>
          <w:rFonts w:ascii="Times New Roman" w:hAnsi="Times New Roman" w:cs="Times New Roman"/>
          <w:sz w:val="24"/>
          <w:szCs w:val="24"/>
        </w:rPr>
        <w:t xml:space="preserve">RH se odlučila na korištenje TP iz SP ZPP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405102">
        <w:rPr>
          <w:rFonts w:ascii="Times New Roman" w:hAnsi="Times New Roman" w:cs="Times New Roman"/>
          <w:sz w:val="24"/>
          <w:szCs w:val="24"/>
        </w:rPr>
        <w:t>100% EAFRD sredstva, bez nacionalnog sufinanciranja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5102">
        <w:rPr>
          <w:rFonts w:ascii="Times New Roman" w:hAnsi="Times New Roman" w:cs="Times New Roman"/>
          <w:sz w:val="24"/>
          <w:szCs w:val="24"/>
        </w:rPr>
        <w:t xml:space="preserve">Prema </w:t>
      </w:r>
      <w:hyperlink r:id="rId5" w:history="1">
        <w:r w:rsidRPr="00405102">
          <w:rPr>
            <w:rFonts w:ascii="Times New Roman" w:hAnsi="Times New Roman" w:cs="Times New Roman"/>
            <w:sz w:val="24"/>
            <w:szCs w:val="24"/>
          </w:rPr>
          <w:t>odobrenom SP ZPP RH 2023.-2027.</w:t>
        </w:r>
      </w:hyperlink>
      <w:r w:rsidRPr="00405102">
        <w:rPr>
          <w:rFonts w:ascii="Times New Roman" w:hAnsi="Times New Roman" w:cs="Times New Roman"/>
          <w:sz w:val="24"/>
          <w:szCs w:val="24"/>
        </w:rPr>
        <w:t xml:space="preserve">, stopa (flat rate) za TP u SP ZPP RH iznosi 3,43% (50 </w:t>
      </w:r>
      <w:proofErr w:type="spellStart"/>
      <w:r w:rsidRPr="00405102">
        <w:rPr>
          <w:rFonts w:ascii="Times New Roman" w:hAnsi="Times New Roman" w:cs="Times New Roman"/>
          <w:sz w:val="24"/>
          <w:szCs w:val="24"/>
        </w:rPr>
        <w:t>mil</w:t>
      </w:r>
      <w:proofErr w:type="spellEnd"/>
      <w:r w:rsidRPr="00405102">
        <w:rPr>
          <w:rFonts w:ascii="Times New Roman" w:hAnsi="Times New Roman" w:cs="Times New Roman"/>
          <w:sz w:val="24"/>
          <w:szCs w:val="24"/>
        </w:rPr>
        <w:t>. EUR) i obračunavat će se na svaku izjavu o rashodima koju RH podnese prema EK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05102">
        <w:rPr>
          <w:rFonts w:ascii="TimesNewRomanPSMT" w:hAnsi="TimesNewRomanPSMT"/>
          <w:i/>
          <w:iCs/>
          <w:sz w:val="20"/>
          <w:szCs w:val="20"/>
          <w:lang w:eastAsia="hr-HR"/>
        </w:rPr>
        <w:t xml:space="preserve"> </w:t>
      </w:r>
      <w:r w:rsidRPr="00405102">
        <w:rPr>
          <w:rFonts w:ascii="Times New Roman" w:hAnsi="Times New Roman" w:cs="Times New Roman"/>
          <w:sz w:val="24"/>
          <w:szCs w:val="24"/>
        </w:rPr>
        <w:t>Od 2025. godine Tehnička pomoć će se financirati prema stopi od 4%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6085" w:rsidRDefault="00B36085" w:rsidP="004051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E76">
        <w:rPr>
          <w:rFonts w:ascii="Times New Roman" w:hAnsi="Times New Roman" w:cs="Times New Roman"/>
          <w:sz w:val="24"/>
          <w:szCs w:val="24"/>
          <w:u w:val="single"/>
        </w:rPr>
        <w:t xml:space="preserve">Izvor 31 </w:t>
      </w:r>
      <w:r w:rsidRPr="00AC0E76">
        <w:rPr>
          <w:rFonts w:ascii="Times New Roman" w:hAnsi="Times New Roman" w:cs="Times New Roman"/>
          <w:sz w:val="24"/>
          <w:szCs w:val="24"/>
        </w:rPr>
        <w:t>– Vlastiti prihodi – prihodi ostvareni prometom u internom kafiću</w:t>
      </w:r>
      <w:r w:rsidR="00405102">
        <w:rPr>
          <w:rFonts w:ascii="Times New Roman" w:hAnsi="Times New Roman" w:cs="Times New Roman"/>
          <w:sz w:val="24"/>
          <w:szCs w:val="24"/>
        </w:rPr>
        <w:t xml:space="preserve"> planiraju se svake godine u iznosu od 39.817 EUR-a</w:t>
      </w:r>
      <w:r w:rsidRPr="00AC0E7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6085" w:rsidRDefault="00B36085" w:rsidP="004051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Izvor 11 </w:t>
      </w:r>
      <w:r>
        <w:rPr>
          <w:rFonts w:ascii="Times New Roman" w:hAnsi="Times New Roman" w:cs="Times New Roman"/>
          <w:sz w:val="24"/>
          <w:szCs w:val="24"/>
        </w:rPr>
        <w:t>– Opći prihodi i primici – prihodi nadležnog proračuna</w:t>
      </w:r>
      <w:r w:rsidR="00405102">
        <w:rPr>
          <w:rFonts w:ascii="Times New Roman" w:hAnsi="Times New Roman" w:cs="Times New Roman"/>
          <w:sz w:val="24"/>
          <w:szCs w:val="24"/>
        </w:rPr>
        <w:t xml:space="preserve">. U 2024. g. planirani su iznosu od </w:t>
      </w:r>
      <w:r w:rsidR="005A6868">
        <w:rPr>
          <w:rFonts w:ascii="Times New Roman" w:hAnsi="Times New Roman" w:cs="Times New Roman"/>
          <w:sz w:val="24"/>
          <w:szCs w:val="24"/>
        </w:rPr>
        <w:t>26.265.141</w:t>
      </w:r>
      <w:r w:rsidR="00405102">
        <w:rPr>
          <w:rFonts w:ascii="Times New Roman" w:hAnsi="Times New Roman" w:cs="Times New Roman"/>
          <w:sz w:val="24"/>
          <w:szCs w:val="24"/>
        </w:rPr>
        <w:t xml:space="preserve"> EUR-a, projekcija za  2025.g. u iznosu od </w:t>
      </w:r>
      <w:r w:rsidR="005A6868">
        <w:rPr>
          <w:rFonts w:ascii="Times New Roman" w:hAnsi="Times New Roman" w:cs="Times New Roman"/>
          <w:sz w:val="24"/>
          <w:szCs w:val="24"/>
        </w:rPr>
        <w:t>27.436.877</w:t>
      </w:r>
      <w:r w:rsidR="00405102">
        <w:rPr>
          <w:rFonts w:ascii="Times New Roman" w:hAnsi="Times New Roman" w:cs="Times New Roman"/>
          <w:sz w:val="24"/>
          <w:szCs w:val="24"/>
        </w:rPr>
        <w:t xml:space="preserve"> EUR-a, a u 2026.g. </w:t>
      </w:r>
      <w:r w:rsidR="005A6868">
        <w:rPr>
          <w:rFonts w:ascii="Times New Roman" w:hAnsi="Times New Roman" w:cs="Times New Roman"/>
          <w:sz w:val="24"/>
          <w:szCs w:val="24"/>
        </w:rPr>
        <w:t>27.022.989</w:t>
      </w:r>
      <w:bookmarkStart w:id="0" w:name="_GoBack"/>
      <w:bookmarkEnd w:id="0"/>
      <w:r w:rsidR="00405102">
        <w:rPr>
          <w:rFonts w:ascii="Times New Roman" w:hAnsi="Times New Roman" w:cs="Times New Roman"/>
          <w:sz w:val="24"/>
          <w:szCs w:val="24"/>
        </w:rPr>
        <w:t xml:space="preserve"> EUR-a</w:t>
      </w:r>
    </w:p>
    <w:p w:rsidR="00B36085" w:rsidRDefault="00B36085" w:rsidP="0040510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Izvor 12 </w:t>
      </w:r>
      <w:r>
        <w:rPr>
          <w:rFonts w:ascii="Times New Roman" w:hAnsi="Times New Roman" w:cs="Times New Roman"/>
          <w:sz w:val="24"/>
          <w:szCs w:val="24"/>
        </w:rPr>
        <w:t>– Sredstva učešća za pomoći – prihodi nadležnog proračuna za sufinanciranje u definiranim omjerima</w:t>
      </w:r>
      <w:r w:rsidR="005D28A2">
        <w:rPr>
          <w:rFonts w:ascii="Times New Roman" w:hAnsi="Times New Roman" w:cs="Times New Roman"/>
          <w:sz w:val="24"/>
          <w:szCs w:val="24"/>
        </w:rPr>
        <w:t xml:space="preserve"> planirani su 2024.g. u iznosu od 2.527.182 EUR-a, projekcija za 2025.g. 95.244 EUR-a, kao i 2026.g.</w:t>
      </w:r>
    </w:p>
    <w:p w:rsidR="005D28A2" w:rsidRDefault="005D28A2" w:rsidP="004051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85" w:rsidRPr="005D28A2" w:rsidRDefault="00B36085" w:rsidP="00B360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Agencija za plaćanja u poljoprivredi u navedenom razdoblju ne planira dodatno zaduživanje.</w:t>
      </w:r>
    </w:p>
    <w:p w:rsidR="00B36085" w:rsidRDefault="00B36085" w:rsidP="00B360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085" w:rsidRPr="00AE2812" w:rsidRDefault="00B36085" w:rsidP="00B360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B36085" w:rsidRDefault="00B36085" w:rsidP="00B360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planirani rashodi u planiranom razdoblju rastu u odnosu na prethodno razdoblje. Najveće povećanje odnosi se na rashode za zaposlene jer se planira ostvariti </w:t>
      </w:r>
      <w:r w:rsidR="005D28A2">
        <w:rPr>
          <w:rFonts w:ascii="Times New Roman" w:hAnsi="Times New Roman" w:cs="Times New Roman"/>
          <w:sz w:val="24"/>
          <w:szCs w:val="24"/>
        </w:rPr>
        <w:t>dodatna zaposlenost</w:t>
      </w:r>
      <w:r>
        <w:rPr>
          <w:rFonts w:ascii="Times New Roman" w:hAnsi="Times New Roman" w:cs="Times New Roman"/>
          <w:sz w:val="24"/>
          <w:szCs w:val="24"/>
        </w:rPr>
        <w:t xml:space="preserve"> zbog povećanog obima posla</w:t>
      </w:r>
      <w:r w:rsidR="005D28A2">
        <w:rPr>
          <w:rFonts w:ascii="Times New Roman" w:hAnsi="Times New Roman" w:cs="Times New Roman"/>
          <w:sz w:val="24"/>
          <w:szCs w:val="24"/>
        </w:rPr>
        <w:t>, a i u postupku je prijedlog nove sistematizacije radnih mjesta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6085" w:rsidRDefault="00B36085" w:rsidP="00B360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Značajno povećanje planirano je na aktivnosti informatizacije zbog nabave nove opreme i zamjene stare (dotrajale) opreme. </w:t>
      </w:r>
      <w:r w:rsidR="005D28A2">
        <w:rPr>
          <w:rFonts w:ascii="Times New Roman" w:hAnsi="Times New Roman" w:cs="Times New Roman"/>
          <w:sz w:val="24"/>
          <w:szCs w:val="24"/>
        </w:rPr>
        <w:t xml:space="preserve">Postupak javne nabave za nabavu koja je planirana u 2023.g. nije proveden, stoga se navedena nabava mora prebaciti u 2024.g. </w:t>
      </w:r>
      <w:r>
        <w:rPr>
          <w:rFonts w:ascii="Times New Roman" w:hAnsi="Times New Roman" w:cs="Times New Roman"/>
          <w:sz w:val="24"/>
          <w:szCs w:val="24"/>
        </w:rPr>
        <w:t xml:space="preserve">Također je potrebno zbog provođenja programa povezanih sa sigurnosnom, </w:t>
      </w:r>
      <w:proofErr w:type="spellStart"/>
      <w:r>
        <w:rPr>
          <w:rFonts w:ascii="Times New Roman" w:hAnsi="Times New Roman" w:cs="Times New Roman"/>
          <w:sz w:val="24"/>
          <w:szCs w:val="24"/>
        </w:rPr>
        <w:t>ribarstvenom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poljoprivrednom politikom nadograditi postojeće programe i aplikacije te izgraditi nove kako bi se ostvarili ciljevi postavljeni u novom financijskom razdoblju EU i Strateškog plana Zajedničke poljoprivredne politike</w:t>
      </w:r>
      <w:r w:rsidR="005D28A2">
        <w:rPr>
          <w:rFonts w:ascii="Times New Roman" w:hAnsi="Times New Roman" w:cs="Times New Roman"/>
          <w:sz w:val="24"/>
          <w:szCs w:val="24"/>
        </w:rPr>
        <w:t xml:space="preserve"> 2023. – 2027.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6085" w:rsidRDefault="00B36085" w:rsidP="00B360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Zbog utjecaja inflacije i novih zahtjeva postavljenih Zajedničkom poljoprivrednom politikom, planirani su i povećani troškovi izrade DOF karata i satelitskih snimaka.</w:t>
      </w:r>
    </w:p>
    <w:p w:rsidR="00B36085" w:rsidRDefault="00B36085" w:rsidP="00B360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Ukupno povećanje rashoda 202</w:t>
      </w:r>
      <w:r w:rsidR="005D28A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.g. u odnosu na </w:t>
      </w:r>
      <w:r w:rsidR="005D28A2">
        <w:rPr>
          <w:rFonts w:ascii="Times New Roman" w:hAnsi="Times New Roman" w:cs="Times New Roman"/>
          <w:sz w:val="24"/>
          <w:szCs w:val="24"/>
        </w:rPr>
        <w:t xml:space="preserve">planiranu realizaciju u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D28A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.g. iznosi </w:t>
      </w:r>
      <w:r w:rsidR="005D28A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%.</w:t>
      </w:r>
    </w:p>
    <w:p w:rsidR="00B36085" w:rsidRDefault="00B36085" w:rsidP="00B360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085" w:rsidRDefault="00B36085" w:rsidP="00B360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085" w:rsidRDefault="00B36085" w:rsidP="00B360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B36085" w:rsidRDefault="00B36085" w:rsidP="00B360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B81">
        <w:rPr>
          <w:rFonts w:ascii="Times New Roman" w:hAnsi="Times New Roman" w:cs="Times New Roman"/>
          <w:sz w:val="24"/>
          <w:szCs w:val="24"/>
        </w:rPr>
        <w:t>Agencija za plaćanja u poljoprivredi, ribarstvu i ruralnom razvoju kao partner u projektu CROLIS</w:t>
      </w:r>
      <w:r>
        <w:rPr>
          <w:rFonts w:ascii="Times New Roman" w:hAnsi="Times New Roman" w:cs="Times New Roman"/>
          <w:sz w:val="24"/>
          <w:szCs w:val="24"/>
        </w:rPr>
        <w:t xml:space="preserve"> u 2021.g. zaprimila je prvu „ratu“ sredstava od strane MINGOR-a za financiranje navedenog projekta, sukladno Ugovoru. U 2021.g. sredstva nisu utrošena, stoga su cijelosti </w:t>
      </w:r>
      <w:r w:rsidR="00697055">
        <w:rPr>
          <w:rFonts w:ascii="Times New Roman" w:hAnsi="Times New Roman" w:cs="Times New Roman"/>
          <w:sz w:val="24"/>
          <w:szCs w:val="24"/>
        </w:rPr>
        <w:t>prenesena</w:t>
      </w:r>
      <w:r>
        <w:rPr>
          <w:rFonts w:ascii="Times New Roman" w:hAnsi="Times New Roman" w:cs="Times New Roman"/>
          <w:sz w:val="24"/>
          <w:szCs w:val="24"/>
        </w:rPr>
        <w:t xml:space="preserve"> u 2022.g. 2022.g. zaposleni su ljudi na projektu, pokrenuti postupci javne nabave, sukladno odredbama Ugovora. Budući da se radi o avansnoj isplati, neutrošena sredstva se prenašaju iz godine u godinu sve do 2025.g. 2024.g. projekat završava i tada će se napraviti konačna bilanca projekta.</w:t>
      </w:r>
    </w:p>
    <w:p w:rsidR="005F58C2" w:rsidRDefault="005F58C2" w:rsidP="00B360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 2023.g. bio je planiran prijenos druge rate akontacije od strane MINGOR-a Agenciji. Sredstva u 2023.g. neće biti </w:t>
      </w:r>
      <w:r w:rsidR="002D3097">
        <w:rPr>
          <w:rFonts w:ascii="Times New Roman" w:hAnsi="Times New Roman" w:cs="Times New Roman"/>
          <w:sz w:val="24"/>
          <w:szCs w:val="24"/>
        </w:rPr>
        <w:t xml:space="preserve">prenesena </w:t>
      </w:r>
      <w:r>
        <w:rPr>
          <w:rFonts w:ascii="Times New Roman" w:hAnsi="Times New Roman" w:cs="Times New Roman"/>
          <w:sz w:val="24"/>
          <w:szCs w:val="24"/>
        </w:rPr>
        <w:t xml:space="preserve">već je  MINGOR poslao obavijest za planiranje prijenosa u iznosu od 555.817 EUR-a izvora 52 u 2024.g. </w:t>
      </w:r>
    </w:p>
    <w:p w:rsidR="00B36085" w:rsidRPr="00757B81" w:rsidRDefault="00B36085" w:rsidP="00B360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Ostatak prijenosa sredstava planirana je na izvoru 31. radi se o naplaćenim prihodima u prethodnim godinama iz kojih će se u idućim godinama financirati rashodi kojima je dospijeće početkom iduće godine.</w:t>
      </w:r>
    </w:p>
    <w:p w:rsidR="00B36085" w:rsidRDefault="00B36085" w:rsidP="00B360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085" w:rsidRDefault="00B36085" w:rsidP="00B360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085" w:rsidRDefault="00B36085" w:rsidP="00B360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085" w:rsidRPr="00186B7B" w:rsidRDefault="00B36085" w:rsidP="00B3608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:rsidR="00B36085" w:rsidRDefault="00B36085" w:rsidP="00B360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Planirane obveze iskazane su temeljem stanja prikazanih u tablici.</w:t>
      </w:r>
    </w:p>
    <w:p w:rsidR="00B36085" w:rsidRDefault="00EF70B6" w:rsidP="00B360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Obveze evidentirane na dan 30.06.2023.g. bile su manje od obveza na dan 31.12.2022.g. zbog rashoda za informatizaciju odnosno prijenosa obveza u 2023.g. zbog kašnjenja u rokovima izvršenja zbog složenosti poslova.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B36085" w:rsidTr="0051330E">
        <w:tc>
          <w:tcPr>
            <w:tcW w:w="1838" w:type="dxa"/>
          </w:tcPr>
          <w:p w:rsidR="00B36085" w:rsidRDefault="00B36085" w:rsidP="0051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36085" w:rsidRDefault="00B36085" w:rsidP="0051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EF70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B36085" w:rsidRDefault="00B36085" w:rsidP="00513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EF70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6085" w:rsidTr="0051330E">
        <w:tc>
          <w:tcPr>
            <w:tcW w:w="1838" w:type="dxa"/>
          </w:tcPr>
          <w:p w:rsidR="00B36085" w:rsidRDefault="00B36085" w:rsidP="00513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:rsidR="00B36085" w:rsidRPr="004C1762" w:rsidRDefault="00EF70B6" w:rsidP="005133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2.735.570,25 EUR</w:t>
            </w:r>
          </w:p>
        </w:tc>
        <w:tc>
          <w:tcPr>
            <w:tcW w:w="3680" w:type="dxa"/>
          </w:tcPr>
          <w:p w:rsidR="00B36085" w:rsidRPr="004C1762" w:rsidRDefault="00EF70B6" w:rsidP="0051330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2.238.288,76 EUR</w:t>
            </w:r>
          </w:p>
        </w:tc>
      </w:tr>
      <w:tr w:rsidR="00B36085" w:rsidTr="0051330E">
        <w:tc>
          <w:tcPr>
            <w:tcW w:w="1838" w:type="dxa"/>
          </w:tcPr>
          <w:p w:rsidR="00B36085" w:rsidRDefault="00B36085" w:rsidP="005133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:rsidR="00B36085" w:rsidRDefault="00B36085" w:rsidP="0051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0" w:type="dxa"/>
          </w:tcPr>
          <w:p w:rsidR="00B36085" w:rsidRDefault="00B36085" w:rsidP="0051330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36085" w:rsidRDefault="00B36085" w:rsidP="00B360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85" w:rsidRDefault="00B36085" w:rsidP="00B360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36085" w:rsidRDefault="00B36085" w:rsidP="00B360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85" w:rsidRDefault="00B36085" w:rsidP="00B360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85" w:rsidRDefault="00B36085" w:rsidP="00B36085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RAVNATELJ</w:t>
      </w:r>
    </w:p>
    <w:p w:rsidR="00B36085" w:rsidRDefault="00B36085" w:rsidP="00B360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Antun Vujić</w:t>
      </w:r>
    </w:p>
    <w:p w:rsidR="00B36085" w:rsidRDefault="00B36085" w:rsidP="00B360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85" w:rsidRDefault="00B36085" w:rsidP="00B360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85" w:rsidRDefault="00B36085" w:rsidP="00B360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6085" w:rsidRDefault="00B36085" w:rsidP="00B36085"/>
    <w:p w:rsidR="000D0A1C" w:rsidRPr="00F471E7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D0A1C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7E3078"/>
    <w:multiLevelType w:val="hybridMultilevel"/>
    <w:tmpl w:val="771256D8"/>
    <w:lvl w:ilvl="0" w:tplc="CFF451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83D14"/>
    <w:rsid w:val="000D0A1C"/>
    <w:rsid w:val="00101491"/>
    <w:rsid w:val="00186B7B"/>
    <w:rsid w:val="00245B1D"/>
    <w:rsid w:val="0029735D"/>
    <w:rsid w:val="00297F7A"/>
    <w:rsid w:val="002D3097"/>
    <w:rsid w:val="003A22DB"/>
    <w:rsid w:val="00405102"/>
    <w:rsid w:val="00407290"/>
    <w:rsid w:val="00466878"/>
    <w:rsid w:val="005722A3"/>
    <w:rsid w:val="005A6868"/>
    <w:rsid w:val="005C1418"/>
    <w:rsid w:val="005D28A2"/>
    <w:rsid w:val="005F58C2"/>
    <w:rsid w:val="00605080"/>
    <w:rsid w:val="00624C16"/>
    <w:rsid w:val="00697055"/>
    <w:rsid w:val="0072334A"/>
    <w:rsid w:val="008423FB"/>
    <w:rsid w:val="00886D68"/>
    <w:rsid w:val="0094274B"/>
    <w:rsid w:val="00975BA7"/>
    <w:rsid w:val="009D7CA0"/>
    <w:rsid w:val="00AC288F"/>
    <w:rsid w:val="00AE2812"/>
    <w:rsid w:val="00B36085"/>
    <w:rsid w:val="00B7793B"/>
    <w:rsid w:val="00BF44C6"/>
    <w:rsid w:val="00CA12E2"/>
    <w:rsid w:val="00D019AB"/>
    <w:rsid w:val="00DA3FEF"/>
    <w:rsid w:val="00DD2586"/>
    <w:rsid w:val="00DF778D"/>
    <w:rsid w:val="00E34EA9"/>
    <w:rsid w:val="00E74D93"/>
    <w:rsid w:val="00EE4CF0"/>
    <w:rsid w:val="00EF70B6"/>
    <w:rsid w:val="00F471E7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BF44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608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051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ralnirazvoj.hr/files/Strateski-plan-Zajednicke-poljoprivredne-politike-Republike-Hrvatske-2023.-2027.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1116</Words>
  <Characters>6367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Gordana Ivašković</cp:lastModifiedBy>
  <cp:revision>4</cp:revision>
  <cp:lastPrinted>2023-10-04T11:09:00Z</cp:lastPrinted>
  <dcterms:created xsi:type="dcterms:W3CDTF">2023-10-04T11:09:00Z</dcterms:created>
  <dcterms:modified xsi:type="dcterms:W3CDTF">2023-12-21T11:45:00Z</dcterms:modified>
</cp:coreProperties>
</file>