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E45" w:rsidRPr="00FE4B89" w:rsidRDefault="007A7E45" w:rsidP="00FE4B89"/>
    <w:p w:rsidR="00976CAE" w:rsidRDefault="00112B83">
      <w:pPr>
        <w:pStyle w:val="Heading2"/>
      </w:pPr>
      <w:r>
        <w:t>06030 Agencija za plaćanja u poljoprivredi, ribarstvu i ruralnom razvoju</w:t>
      </w:r>
    </w:p>
    <w:p w:rsidR="00976CAE" w:rsidRDefault="00112B83">
      <w:r>
        <w:t xml:space="preserve">Agencija za plaćanja u poljoprivredi, ribarstvu i ruralnom razvoju (APPRRR)osnovana je Zakonom o osnivanju Agencije za plaćanja Agencije za plaćanja u poljoprivredi, ribarstvu i ruralnom razvoju (NN30/09, 56/13) kao javna ustanova </w:t>
      </w:r>
    </w:p>
    <w:p w:rsidR="00976CAE" w:rsidRDefault="00112B83">
      <w:r>
        <w:t>radi operativne provedbe</w:t>
      </w:r>
      <w:r>
        <w:t xml:space="preserve"> mjera tržišne i strukturne potpore u poljoprivredi, ribarstvu i ruralnom razvoju, a započela </w:t>
      </w:r>
    </w:p>
    <w:p w:rsidR="00976CAE" w:rsidRDefault="00112B83">
      <w:r>
        <w:t xml:space="preserve">je s radom danom upisa u sudski registar 18. prosinca 2009.godine. Osnivač APPRRR je Republika Hrvatska, a </w:t>
      </w:r>
    </w:p>
    <w:p w:rsidR="00976CAE" w:rsidRDefault="00112B83">
      <w:r>
        <w:t>osnivačka prava i dužnosti u ime osnivača obavlja Min</w:t>
      </w:r>
      <w:r>
        <w:t xml:space="preserve">istarstvo poljoprivrede. </w:t>
      </w:r>
    </w:p>
    <w:p w:rsidR="00976CAE" w:rsidRDefault="00112B83">
      <w:r>
        <w:t>APPRRR) nadležna je za operativnu provedbu Zajedničke poljoprivredne politike (ZPP) i Zajedničke ribarstvene politike (ZRP). Navedene politike provode se kroz intervencije izravne potpore, mjere/intervencije ruralnog razvoja, mjer</w:t>
      </w:r>
      <w:r>
        <w:t xml:space="preserve">e za pomorstvo i ribarstvo, sektorske intervencije, nacionalne programe potpore i ostale tržišne potpore. Nadalje, APPRRR je nadležan i za vođenje upisnika i registara te održavanje i korištenje Integriranog administrativnog i kontrolnog sustava (IAKS) uz </w:t>
      </w:r>
      <w:r>
        <w:t xml:space="preserve">pomoć kojeg se zaprimaju, obrađuju i kontroliraju izravna plaćanja poljoprivrednicima i IAKS mjere/intervencije ruralnog razvoja.  </w:t>
      </w:r>
    </w:p>
    <w:p w:rsidR="00976CAE" w:rsidRDefault="00112B83">
      <w:r>
        <w:t>U 2023. godini započelo je novo programsko razdoblje ZPP-a utemeljeno na Strateškom planu Zajedničke poljoprivredne politike</w:t>
      </w:r>
      <w:r>
        <w:t xml:space="preserve"> Republike Hrvatske 2023.-2027. godine. Strateški plan ZPP-a 2023.-2027. predstavlja nacionalni dokument kojim se osigurava potpora iz europskih poljoprivrednih fondova, a koji je usklađen sa Strategijom poljoprivrede do 2030. godine odnosno Nacionalnom ra</w:t>
      </w:r>
      <w:r>
        <w:t>zvojnom strategijom RH do 2030. godine. Provedbom Strateškog plana ZPP-a 2023.-2027. nastoji se osigurati doprinos ciljevima Europskog zelenog plana uključujući Strategiju za bioraznolikost te strategiju Od polja do stola. Glavne zadaće APPRRR-a u spomenut</w:t>
      </w:r>
      <w:r>
        <w:t>om procesu jesu pravovremena objava novih natječaja, kao i obrada već pristiglih zahtjeva u sklopu Programa ruralnog razvoja, obrada zahtjeva za intervencije izravne potpore i IAKS mjere/intervencije ruralnog razvoja (Jedinstveni zahtjev), pravovremena isp</w:t>
      </w:r>
      <w:r>
        <w:t xml:space="preserve">lata svih potpora, kontinuirana provedba kontrola na terenu, objava natječaja te obrada zahtjeva za sektorske intervencije, nacionalne programe potpore i ostale tržišne potpore.  </w:t>
      </w:r>
    </w:p>
    <w:p w:rsidR="00976CAE" w:rsidRDefault="00112B83">
      <w:r>
        <w:t>APPRRR će se i u 2024. godini voditi vizijom stalnog unaprjeđenja životnog s</w:t>
      </w:r>
      <w:r>
        <w:t xml:space="preserve">tandarda hrvatskih poljoprivrednika i ribara uz očuvanje i uravnotežen razvoj ruralnih prostora. Pri tom će se poseban naglasak staviti na investicije u digitalizaciju i općenito primjenu inovacija te tzv. zelenu tranziciju, koja podrazumijeva investicije </w:t>
      </w:r>
      <w:r>
        <w:t xml:space="preserve">koje ne štete ili su korisne za prirodu i okoliš, kao i investicije u obnovljive izvore energije koje, osim okolišnog, imaju i značajne gospodarske učinke. </w:t>
      </w:r>
    </w:p>
    <w:p w:rsidR="00976CAE" w:rsidRDefault="00112B83">
      <w:r>
        <w:t>Agencija za plaćanja u poljoprivredi, ribarstvu i ruralnom razvoju u narednom trogodišnjem razdoblj</w:t>
      </w:r>
      <w:r>
        <w:t xml:space="preserve">u 2024. – 2026.g. planira ostvarivanje prihoda iz slijedećih izvora: </w:t>
      </w:r>
    </w:p>
    <w:p w:rsidR="00976CAE" w:rsidRDefault="00112B83">
      <w:r>
        <w:t>- Izvor 51 – Pomoći EU – odnosi se refundaciju putnih troškova od strane Europske komisije. Ti prihodi su planirani u svim godinama u istom iznosu od 21.236 EUR-a. U 2025.g. Agencija pla</w:t>
      </w:r>
      <w:r>
        <w:t>nira organizaciju Panta Rhei ICT. To je radna grupa koju čine predstavnici ICT stručnjaka Agencija za plaćanja EU. Dva puta godišnje organiziraju se konferencije na kojima osim zemlja članica sudjeluju predstavnici Europske komisije i Europskog revizorskog</w:t>
      </w:r>
      <w:r>
        <w:t xml:space="preserve"> suda. Države članice plaćaju godišnju članarinu od 4.000 EUR-a te iz toga Europska komisija sufinancira organizaciju konferencije u iznosu od 60.000 EUR-a. Stoga je za tu namjenu u 2025.g. planirano 60.000 EUR-a na izvoru 51 odnosno ukupno 81.236 EUR-a </w:t>
      </w:r>
    </w:p>
    <w:p w:rsidR="00976CAE" w:rsidRDefault="00112B83">
      <w:r>
        <w:t>I</w:t>
      </w:r>
      <w:r>
        <w:t>zvor 52 – Ostale pomoći – odnosi se na prijenos sredstava od strane MINGOR-a za realizaciju projekta Hrvatski zemljišni informacijski sustav CROLIS (program LIFE). Za provedbu ovog projekta, Ministarstvo gospodarstva i održivog razvoja je u rujnu 2020. god</w:t>
      </w:r>
      <w:r>
        <w:t>ine sklopilo ugovor s Europskom komisijom, odnosno Agencijom za malo i srednje poduzetništvo, a partneri na projektu su Hrvatske šume d.o.o., Državna geodetska uprava, Agencija za plaćanje u poljoprivredi, ribarstvu i ruralnom razvoju i Ekonerg d.o.o. Posl</w:t>
      </w:r>
      <w:r>
        <w:t xml:space="preserve">jednja isplata planirana je za 2024.g. kada se planira konačan obračun projekta. Provedba projekta trajat će do 30.04.2024.g. te stog u 2025.g. nisu planirana sredstva iz ovog izvora. U 2024.g. Ministarstvo gospodarstva i održivog razvoja planira Agenciji </w:t>
      </w:r>
      <w:r>
        <w:t>za plaćanja prenijeti ukupno 555.817 EUR-a od čega 449.789 EUR-a iz programa LIFE i 106.028 iz Fonda za zaštitu okoliša i energetsku učinkovitost. Od 2025.g. aktivnost T841008 trebala bi postati redovna aktivnost Agencije za plaćanja koja će se financirati</w:t>
      </w:r>
      <w:r>
        <w:t xml:space="preserve"> iz nadležnog proračuna.  </w:t>
      </w:r>
    </w:p>
    <w:p w:rsidR="00976CAE" w:rsidRDefault="00112B83">
      <w:r>
        <w:t>- Izvor 564 – Europski fond za pomorstvo i ribarstvo – aktivnosti u vezi s pripremom, praćenjem, administrativnom i tehničkom potporom, ocjenjivanjem, revizijom i kontrolom koje su potrebne za provedbu Uredbe (EU) br. 1303/2013 E</w:t>
      </w:r>
      <w:r>
        <w:t xml:space="preserve">uropskog parlamenta i Vijeća od 17. prosinca 2013.). Sredstva potpore osiguravaju se u omjeru 70 </w:t>
      </w:r>
      <w:r>
        <w:lastRenderedPageBreak/>
        <w:t>(sredstva Fonda):30 (državni proračun RH). Sredstva planirana na ovom izvoru u svim godinama 2024-2026. iznose ukupno 234978 EUR-a u 2024.g. i po 226.1782 EUR-</w:t>
      </w:r>
      <w:r>
        <w:t xml:space="preserve">a u 2025. i 2026.g..  </w:t>
      </w:r>
    </w:p>
    <w:p w:rsidR="00976CAE" w:rsidRDefault="00112B83">
      <w:r>
        <w:t>-Izvor 565 – Europski poljoprivredni fond za ruralni razvoj - Sukladno Programu korisnici mjere TP su Ministarstvo poljoprivrede (Upravljačko tijelo i određeni službenici drugih organizacijskih jedinica Ministarstva poljoprivrede koj</w:t>
      </w:r>
      <w:r>
        <w:t>e obavljaju dio poslova vezanih uz pripremu za novo programsko razdoblje te organizacijska jedinica nadležna za poslove akreditacije Agencije za plaćanja) i Agencija za plaćanja. Za sedmogodišnje razdoblje, sukladno Programu, Hrvatska na raspolaganju ima (</w:t>
      </w:r>
      <w:r>
        <w:t>zajedno EU i RH udjel) 48.914.041,24 EUR, odnosno 371.746.713,42 HRK. Ova ukupno alocirana sredstva podijeljena su na šest godina provedbe mjere TP. Sredstva potpore osiguravaju se iz proračuna Europske unije (85% udjela) i državnog proračuna Republike Hrv</w:t>
      </w:r>
      <w:r>
        <w:t xml:space="preserve">atske (15% udjela). Intenzitet potpore iznosi do 100% od ukupnih prihvatljivih troškova. </w:t>
      </w:r>
    </w:p>
    <w:p w:rsidR="00976CAE" w:rsidRDefault="00112B83">
      <w:r>
        <w:t>Republike Hrvatske (15% udjela). Intenzitet potpore iznosi do 100% od ukupnih prihvatljivih troškova.</w:t>
      </w:r>
    </w:p>
    <w:tbl>
      <w:tblPr>
        <w:tblStyle w:val="StilTablice"/>
        <w:tblW w:w="10206" w:type="dxa"/>
        <w:jc w:val="center"/>
        <w:tblLook w:val="04A0" w:firstRow="1" w:lastRow="0" w:firstColumn="1" w:lastColumn="0" w:noHBand="0" w:noVBand="1"/>
      </w:tblPr>
      <w:tblGrid>
        <w:gridCol w:w="1426"/>
        <w:gridCol w:w="1562"/>
        <w:gridCol w:w="1562"/>
        <w:gridCol w:w="1562"/>
        <w:gridCol w:w="1562"/>
        <w:gridCol w:w="1562"/>
        <w:gridCol w:w="970"/>
      </w:tblGrid>
      <w:tr w:rsidR="00976CAE">
        <w:trPr>
          <w:jc w:val="center"/>
        </w:trPr>
        <w:tc>
          <w:tcPr>
            <w:tcW w:w="1530" w:type="dxa"/>
            <w:shd w:val="clear" w:color="auto" w:fill="B5C0D8"/>
          </w:tcPr>
          <w:p w:rsidR="00976CAE" w:rsidRDefault="00976CAE">
            <w:pPr>
              <w:pStyle w:val="CellHeader"/>
              <w:jc w:val="center"/>
            </w:pPr>
          </w:p>
        </w:tc>
        <w:tc>
          <w:tcPr>
            <w:tcW w:w="1632" w:type="dxa"/>
            <w:shd w:val="clear" w:color="auto" w:fill="B5C0D8"/>
          </w:tcPr>
          <w:p w:rsidR="00976CAE" w:rsidRDefault="00112B83">
            <w:pPr>
              <w:pStyle w:val="CellHeader"/>
              <w:jc w:val="center"/>
            </w:pPr>
            <w:r>
              <w:rPr>
                <w:rFonts w:cs="Times New Roman"/>
              </w:rPr>
              <w:t>Izvršenje 2022.</w:t>
            </w:r>
          </w:p>
        </w:tc>
        <w:tc>
          <w:tcPr>
            <w:tcW w:w="1632" w:type="dxa"/>
            <w:shd w:val="clear" w:color="auto" w:fill="B5C0D8"/>
          </w:tcPr>
          <w:p w:rsidR="00976CAE" w:rsidRDefault="00112B83">
            <w:pPr>
              <w:pStyle w:val="CellHeader"/>
              <w:jc w:val="center"/>
            </w:pPr>
            <w:r>
              <w:rPr>
                <w:rFonts w:cs="Times New Roman"/>
              </w:rPr>
              <w:t>Plan 2023.</w:t>
            </w:r>
          </w:p>
        </w:tc>
        <w:tc>
          <w:tcPr>
            <w:tcW w:w="1632" w:type="dxa"/>
            <w:shd w:val="clear" w:color="auto" w:fill="B5C0D8"/>
          </w:tcPr>
          <w:p w:rsidR="00976CAE" w:rsidRDefault="00112B83">
            <w:pPr>
              <w:pStyle w:val="CellHeader"/>
              <w:jc w:val="center"/>
            </w:pPr>
            <w:r>
              <w:rPr>
                <w:rFonts w:cs="Times New Roman"/>
              </w:rPr>
              <w:t>Plan 2024.</w:t>
            </w:r>
          </w:p>
        </w:tc>
        <w:tc>
          <w:tcPr>
            <w:tcW w:w="1632" w:type="dxa"/>
            <w:shd w:val="clear" w:color="auto" w:fill="B5C0D8"/>
          </w:tcPr>
          <w:p w:rsidR="00976CAE" w:rsidRDefault="00112B83">
            <w:pPr>
              <w:pStyle w:val="CellHeader"/>
              <w:jc w:val="center"/>
            </w:pPr>
            <w:r>
              <w:rPr>
                <w:rFonts w:cs="Times New Roman"/>
              </w:rPr>
              <w:t>Plan 2025.</w:t>
            </w:r>
          </w:p>
        </w:tc>
        <w:tc>
          <w:tcPr>
            <w:tcW w:w="1632" w:type="dxa"/>
            <w:shd w:val="clear" w:color="auto" w:fill="B5C0D8"/>
          </w:tcPr>
          <w:p w:rsidR="00976CAE" w:rsidRDefault="00112B83">
            <w:pPr>
              <w:pStyle w:val="CellHeader"/>
              <w:jc w:val="center"/>
            </w:pPr>
            <w:r>
              <w:rPr>
                <w:rFonts w:cs="Times New Roman"/>
              </w:rPr>
              <w:t>Plan 2026.</w:t>
            </w:r>
          </w:p>
        </w:tc>
        <w:tc>
          <w:tcPr>
            <w:tcW w:w="510" w:type="dxa"/>
            <w:shd w:val="clear" w:color="auto" w:fill="B5C0D8"/>
          </w:tcPr>
          <w:p w:rsidR="00976CAE" w:rsidRDefault="00112B83">
            <w:pPr>
              <w:pStyle w:val="CellHeader"/>
              <w:jc w:val="center"/>
            </w:pPr>
            <w:r>
              <w:rPr>
                <w:rFonts w:cs="Times New Roman"/>
              </w:rPr>
              <w:t>Indeks 2024/2023</w:t>
            </w:r>
          </w:p>
        </w:tc>
      </w:tr>
      <w:tr w:rsidR="00976CAE">
        <w:trPr>
          <w:jc w:val="center"/>
        </w:trPr>
        <w:tc>
          <w:tcPr>
            <w:tcW w:w="1530" w:type="dxa"/>
          </w:tcPr>
          <w:p w:rsidR="00976CAE" w:rsidRDefault="00112B83">
            <w:pPr>
              <w:pStyle w:val="CellColumn"/>
              <w:jc w:val="left"/>
            </w:pPr>
            <w:r>
              <w:rPr>
                <w:rFonts w:cs="Times New Roman"/>
              </w:rPr>
              <w:t>06030</w:t>
            </w:r>
          </w:p>
        </w:tc>
        <w:tc>
          <w:tcPr>
            <w:tcW w:w="1632" w:type="dxa"/>
          </w:tcPr>
          <w:p w:rsidR="00976CAE" w:rsidRDefault="00112B83">
            <w:pPr>
              <w:jc w:val="right"/>
            </w:pPr>
            <w:r>
              <w:t>27.270.726</w:t>
            </w:r>
          </w:p>
        </w:tc>
        <w:tc>
          <w:tcPr>
            <w:tcW w:w="1632" w:type="dxa"/>
          </w:tcPr>
          <w:p w:rsidR="00976CAE" w:rsidRDefault="00112B83">
            <w:pPr>
              <w:jc w:val="right"/>
            </w:pPr>
            <w:r>
              <w:t>34.380.620</w:t>
            </w:r>
          </w:p>
        </w:tc>
        <w:tc>
          <w:tcPr>
            <w:tcW w:w="1632" w:type="dxa"/>
          </w:tcPr>
          <w:p w:rsidR="00976CAE" w:rsidRDefault="00112B83">
            <w:pPr>
              <w:jc w:val="right"/>
            </w:pPr>
            <w:r>
              <w:t>42.426.998</w:t>
            </w:r>
          </w:p>
        </w:tc>
        <w:tc>
          <w:tcPr>
            <w:tcW w:w="1632" w:type="dxa"/>
          </w:tcPr>
          <w:p w:rsidR="00976CAE" w:rsidRDefault="00112B83">
            <w:pPr>
              <w:jc w:val="right"/>
            </w:pPr>
            <w:r>
              <w:t>43.313.856</w:t>
            </w:r>
          </w:p>
        </w:tc>
        <w:tc>
          <w:tcPr>
            <w:tcW w:w="1632" w:type="dxa"/>
          </w:tcPr>
          <w:p w:rsidR="00976CAE" w:rsidRDefault="00112B83">
            <w:pPr>
              <w:jc w:val="right"/>
            </w:pPr>
            <w:r>
              <w:t>42.439.968</w:t>
            </w:r>
          </w:p>
        </w:tc>
        <w:tc>
          <w:tcPr>
            <w:tcW w:w="510" w:type="dxa"/>
          </w:tcPr>
          <w:p w:rsidR="00976CAE" w:rsidRDefault="00112B83">
            <w:pPr>
              <w:jc w:val="right"/>
            </w:pPr>
            <w:r>
              <w:t>123,4</w:t>
            </w:r>
          </w:p>
        </w:tc>
      </w:tr>
    </w:tbl>
    <w:p w:rsidR="00976CAE" w:rsidRDefault="00976CAE">
      <w:pPr>
        <w:jc w:val="left"/>
      </w:pPr>
    </w:p>
    <w:p w:rsidR="00976CAE" w:rsidRDefault="00112B83">
      <w:pPr>
        <w:pStyle w:val="Heading3"/>
      </w:pPr>
      <w:r>
        <w:rPr>
          <w:rFonts w:cs="Times New Roman"/>
        </w:rPr>
        <w:t>3001 UPRAVLJANJE POLJOPRIVREDOM, RIBARSTVOM I RURALNIM RAZVOJEM</w:t>
      </w:r>
    </w:p>
    <w:tbl>
      <w:tblPr>
        <w:tblStyle w:val="StilTablice"/>
        <w:tblW w:w="10206" w:type="dxa"/>
        <w:jc w:val="center"/>
        <w:tblLook w:val="04A0" w:firstRow="1" w:lastRow="0" w:firstColumn="1" w:lastColumn="0" w:noHBand="0" w:noVBand="1"/>
      </w:tblPr>
      <w:tblGrid>
        <w:gridCol w:w="1417"/>
        <w:gridCol w:w="1563"/>
        <w:gridCol w:w="1564"/>
        <w:gridCol w:w="1564"/>
        <w:gridCol w:w="1564"/>
        <w:gridCol w:w="1564"/>
        <w:gridCol w:w="970"/>
      </w:tblGrid>
      <w:tr w:rsidR="00976CAE">
        <w:trPr>
          <w:jc w:val="center"/>
        </w:trPr>
        <w:tc>
          <w:tcPr>
            <w:tcW w:w="1530" w:type="dxa"/>
            <w:shd w:val="clear" w:color="auto" w:fill="B5C0D8"/>
          </w:tcPr>
          <w:p w:rsidR="00976CAE" w:rsidRDefault="00976CAE">
            <w:pPr>
              <w:pStyle w:val="CellHeader"/>
              <w:jc w:val="center"/>
            </w:pPr>
          </w:p>
        </w:tc>
        <w:tc>
          <w:tcPr>
            <w:tcW w:w="1632" w:type="dxa"/>
            <w:shd w:val="clear" w:color="auto" w:fill="B5C0D8"/>
          </w:tcPr>
          <w:p w:rsidR="00976CAE" w:rsidRDefault="00112B83">
            <w:pPr>
              <w:pStyle w:val="CellHeader"/>
              <w:jc w:val="center"/>
            </w:pPr>
            <w:r>
              <w:rPr>
                <w:rFonts w:cs="Times New Roman"/>
              </w:rPr>
              <w:t>Izvršenje 2022.</w:t>
            </w:r>
          </w:p>
        </w:tc>
        <w:tc>
          <w:tcPr>
            <w:tcW w:w="1632" w:type="dxa"/>
            <w:shd w:val="clear" w:color="auto" w:fill="B5C0D8"/>
          </w:tcPr>
          <w:p w:rsidR="00976CAE" w:rsidRDefault="00112B83">
            <w:pPr>
              <w:pStyle w:val="CellHeader"/>
              <w:jc w:val="center"/>
            </w:pPr>
            <w:r>
              <w:rPr>
                <w:rFonts w:cs="Times New Roman"/>
              </w:rPr>
              <w:t>Plan 2023.</w:t>
            </w:r>
          </w:p>
        </w:tc>
        <w:tc>
          <w:tcPr>
            <w:tcW w:w="1632" w:type="dxa"/>
            <w:shd w:val="clear" w:color="auto" w:fill="B5C0D8"/>
          </w:tcPr>
          <w:p w:rsidR="00976CAE" w:rsidRDefault="00112B83">
            <w:pPr>
              <w:pStyle w:val="CellHeader"/>
              <w:jc w:val="center"/>
            </w:pPr>
            <w:r>
              <w:rPr>
                <w:rFonts w:cs="Times New Roman"/>
              </w:rPr>
              <w:t>Plan 2024.</w:t>
            </w:r>
          </w:p>
        </w:tc>
        <w:tc>
          <w:tcPr>
            <w:tcW w:w="1632" w:type="dxa"/>
            <w:shd w:val="clear" w:color="auto" w:fill="B5C0D8"/>
          </w:tcPr>
          <w:p w:rsidR="00976CAE" w:rsidRDefault="00112B83">
            <w:pPr>
              <w:pStyle w:val="CellHeader"/>
              <w:jc w:val="center"/>
            </w:pPr>
            <w:r>
              <w:rPr>
                <w:rFonts w:cs="Times New Roman"/>
              </w:rPr>
              <w:t>Plan 2025.</w:t>
            </w:r>
          </w:p>
        </w:tc>
        <w:tc>
          <w:tcPr>
            <w:tcW w:w="1632" w:type="dxa"/>
            <w:shd w:val="clear" w:color="auto" w:fill="B5C0D8"/>
          </w:tcPr>
          <w:p w:rsidR="00976CAE" w:rsidRDefault="00112B83">
            <w:pPr>
              <w:pStyle w:val="CellHeader"/>
              <w:jc w:val="center"/>
            </w:pPr>
            <w:r>
              <w:rPr>
                <w:rFonts w:cs="Times New Roman"/>
              </w:rPr>
              <w:t>Plan 2026.</w:t>
            </w:r>
          </w:p>
        </w:tc>
        <w:tc>
          <w:tcPr>
            <w:tcW w:w="510" w:type="dxa"/>
            <w:shd w:val="clear" w:color="auto" w:fill="B5C0D8"/>
          </w:tcPr>
          <w:p w:rsidR="00976CAE" w:rsidRDefault="00112B83">
            <w:pPr>
              <w:pStyle w:val="CellHeader"/>
              <w:jc w:val="center"/>
            </w:pPr>
            <w:r>
              <w:rPr>
                <w:rFonts w:cs="Times New Roman"/>
              </w:rPr>
              <w:t>Indeks 2024/2023</w:t>
            </w:r>
          </w:p>
        </w:tc>
      </w:tr>
      <w:tr w:rsidR="00976CAE">
        <w:trPr>
          <w:jc w:val="center"/>
        </w:trPr>
        <w:tc>
          <w:tcPr>
            <w:tcW w:w="1530" w:type="dxa"/>
          </w:tcPr>
          <w:p w:rsidR="00976CAE" w:rsidRDefault="00112B83">
            <w:pPr>
              <w:pStyle w:val="CellColumn"/>
              <w:jc w:val="left"/>
            </w:pPr>
            <w:r>
              <w:rPr>
                <w:rFonts w:cs="Times New Roman"/>
              </w:rPr>
              <w:t>3001</w:t>
            </w:r>
          </w:p>
        </w:tc>
        <w:tc>
          <w:tcPr>
            <w:tcW w:w="1632" w:type="dxa"/>
          </w:tcPr>
          <w:p w:rsidR="00976CAE" w:rsidRDefault="00112B83">
            <w:pPr>
              <w:jc w:val="right"/>
            </w:pPr>
            <w:r>
              <w:t>20.195.241</w:t>
            </w:r>
          </w:p>
        </w:tc>
        <w:tc>
          <w:tcPr>
            <w:tcW w:w="1632" w:type="dxa"/>
          </w:tcPr>
          <w:p w:rsidR="00976CAE" w:rsidRDefault="00112B83">
            <w:pPr>
              <w:jc w:val="right"/>
            </w:pPr>
            <w:r>
              <w:t>21.006.132</w:t>
            </w:r>
          </w:p>
        </w:tc>
        <w:tc>
          <w:tcPr>
            <w:tcW w:w="1632" w:type="dxa"/>
          </w:tcPr>
          <w:p w:rsidR="00976CAE" w:rsidRDefault="00112B83">
            <w:pPr>
              <w:jc w:val="right"/>
            </w:pPr>
            <w:r>
              <w:t>26.773.401</w:t>
            </w:r>
          </w:p>
        </w:tc>
        <w:tc>
          <w:tcPr>
            <w:tcW w:w="1632" w:type="dxa"/>
          </w:tcPr>
          <w:p w:rsidR="00976CAE" w:rsidRDefault="00112B83">
            <w:pPr>
              <w:jc w:val="right"/>
            </w:pPr>
            <w:r>
              <w:t>27.557.930</w:t>
            </w:r>
          </w:p>
        </w:tc>
        <w:tc>
          <w:tcPr>
            <w:tcW w:w="1632" w:type="dxa"/>
          </w:tcPr>
          <w:p w:rsidR="00976CAE" w:rsidRDefault="00112B83">
            <w:pPr>
              <w:jc w:val="right"/>
            </w:pPr>
            <w:r>
              <w:t>27.084.042</w:t>
            </w:r>
          </w:p>
        </w:tc>
        <w:tc>
          <w:tcPr>
            <w:tcW w:w="510" w:type="dxa"/>
          </w:tcPr>
          <w:p w:rsidR="00976CAE" w:rsidRDefault="00112B83">
            <w:pPr>
              <w:jc w:val="right"/>
            </w:pPr>
            <w:r>
              <w:t>127,5</w:t>
            </w:r>
          </w:p>
        </w:tc>
      </w:tr>
    </w:tbl>
    <w:p w:rsidR="00976CAE" w:rsidRDefault="00976CAE">
      <w:pPr>
        <w:jc w:val="left"/>
      </w:pPr>
    </w:p>
    <w:p w:rsidR="00976CAE" w:rsidRDefault="00112B83">
      <w:r>
        <w:t>Nakon dvogodišnjeg prijelaznog razdoblja 2021.-2022. godine, danom 1. siječnja 2023. godine započela provedba novog programskog razdoblja Zajedničke poljoprivredne politike 2023.-2027. godine. U novoj Zajedničkoj poljoprivrednoj politici EU-a, umjesto post</w:t>
      </w:r>
      <w:r>
        <w:t>ojećih pravila i usklađenosti, naglasak je stavljen na rezultate i djelotvornost mjera. Državama članicama je ostavljeno da same odluče kako će najbolje ispuniti zajedničke ciljeve europske poljoprivredne politike, istovremeno odgovarajući na specifične po</w:t>
      </w:r>
      <w:r>
        <w:t xml:space="preserve">trebe svojih poljoprivrednika.  </w:t>
      </w:r>
    </w:p>
    <w:p w:rsidR="00976CAE" w:rsidRDefault="00112B83">
      <w:r>
        <w:t>ZPP-u za razdoblje 2021. – 2027. bit će dodijeljeno 387 milijardi EUR. Ta sredstva dolaze iz dva različita fonda: iz Europskog fonda za jamstva u poljoprivredi (EFJP), u iznosu od 291,1 milijarde EUR (u tekućim cijenama) i iz Europskog poljoprivrednog fond</w:t>
      </w:r>
      <w:r>
        <w:t xml:space="preserve">a za ruralni razvoj (EPFRR), u iznosu od 95,5 milijardi EUR. </w:t>
      </w:r>
    </w:p>
    <w:p w:rsidR="00976CAE" w:rsidRDefault="00112B83">
      <w:r>
        <w:t xml:space="preserve"> </w:t>
      </w:r>
    </w:p>
    <w:p w:rsidR="00976CAE" w:rsidRDefault="00112B83">
      <w:r>
        <w:t xml:space="preserve">Opći ciljevi Zajedničke poljoprivredne politike 2023.-2027. godine jesu sljedeći: </w:t>
      </w:r>
    </w:p>
    <w:p w:rsidR="00976CAE" w:rsidRDefault="00112B83">
      <w:r>
        <w:t>•</w:t>
      </w:r>
      <w:r>
        <w:tab/>
        <w:t>Poticanje pametnog, konkurentnog, otpornog i diversificiranog sektora poljoprivrede kojim se osigurava dugo</w:t>
      </w:r>
      <w:r>
        <w:t xml:space="preserve">ročna sigurnost opskrbe hranom, </w:t>
      </w:r>
    </w:p>
    <w:p w:rsidR="00976CAE" w:rsidRDefault="00112B83">
      <w:r>
        <w:t>•</w:t>
      </w:r>
      <w:r>
        <w:tab/>
        <w:t xml:space="preserve">Podupiranje i jačanje zaštite okoliša, uključujući bioraznolikost i djelovanja u području klime te doprinos postizanju ciljeva Unije u području okoliša i klime, uključujući njezine obveze u okviru Pariškog sporazuma, </w:t>
      </w:r>
    </w:p>
    <w:p w:rsidR="00976CAE" w:rsidRDefault="00112B83">
      <w:r>
        <w:t>•</w:t>
      </w:r>
      <w:r>
        <w:tab/>
        <w:t>J</w:t>
      </w:r>
      <w:r>
        <w:t xml:space="preserve">ačanje socioekonomske strukture ruralnih područja. </w:t>
      </w:r>
    </w:p>
    <w:p w:rsidR="00976CAE" w:rsidRDefault="00112B83">
      <w:r>
        <w:t xml:space="preserve"> </w:t>
      </w:r>
    </w:p>
    <w:p w:rsidR="00976CAE" w:rsidRDefault="00112B83">
      <w:r>
        <w:t xml:space="preserve">U okviru Zajedničke poljoprivredne politike 2023.-2027. godine određeno je devet (9) specifičnih ciljeva i jedan (1) horizontalni cilj kako slijedi: </w:t>
      </w:r>
    </w:p>
    <w:p w:rsidR="00976CAE" w:rsidRDefault="00112B83">
      <w:r>
        <w:t>1.</w:t>
      </w:r>
      <w:r>
        <w:tab/>
        <w:t xml:space="preserve">Održivi dohodak, </w:t>
      </w:r>
    </w:p>
    <w:p w:rsidR="00976CAE" w:rsidRDefault="00112B83">
      <w:r>
        <w:t>2.</w:t>
      </w:r>
      <w:r>
        <w:tab/>
        <w:t xml:space="preserve">Konkurentnost, </w:t>
      </w:r>
    </w:p>
    <w:p w:rsidR="00976CAE" w:rsidRDefault="00112B83">
      <w:r>
        <w:t>3.</w:t>
      </w:r>
      <w:r>
        <w:tab/>
        <w:t>Lanac ops</w:t>
      </w:r>
      <w:r>
        <w:t xml:space="preserve">krbe hranom, </w:t>
      </w:r>
    </w:p>
    <w:p w:rsidR="00976CAE" w:rsidRDefault="00112B83">
      <w:r>
        <w:t>4.</w:t>
      </w:r>
      <w:r>
        <w:tab/>
        <w:t xml:space="preserve">Klimatske promjene, </w:t>
      </w:r>
    </w:p>
    <w:p w:rsidR="00976CAE" w:rsidRDefault="00112B83">
      <w:r>
        <w:t>5.</w:t>
      </w:r>
      <w:r>
        <w:tab/>
        <w:t xml:space="preserve">Okoliš, </w:t>
      </w:r>
    </w:p>
    <w:p w:rsidR="00976CAE" w:rsidRDefault="00112B83">
      <w:r>
        <w:lastRenderedPageBreak/>
        <w:t>6.</w:t>
      </w:r>
      <w:r>
        <w:tab/>
        <w:t xml:space="preserve">Bioraznolikost, </w:t>
      </w:r>
    </w:p>
    <w:p w:rsidR="00976CAE" w:rsidRDefault="00112B83">
      <w:r>
        <w:t>7.</w:t>
      </w:r>
      <w:r>
        <w:tab/>
        <w:t xml:space="preserve">Generacijska obnova, </w:t>
      </w:r>
    </w:p>
    <w:p w:rsidR="00976CAE" w:rsidRDefault="00112B83">
      <w:r>
        <w:t>8.</w:t>
      </w:r>
      <w:r>
        <w:tab/>
        <w:t xml:space="preserve">Ruralna područja, </w:t>
      </w:r>
    </w:p>
    <w:p w:rsidR="00976CAE" w:rsidRDefault="00112B83">
      <w:r>
        <w:t>9.</w:t>
      </w:r>
      <w:r>
        <w:tab/>
        <w:t xml:space="preserve">Hrana i dobrobit životinja, </w:t>
      </w:r>
    </w:p>
    <w:p w:rsidR="00976CAE" w:rsidRDefault="00112B83">
      <w:r>
        <w:t>10.</w:t>
      </w:r>
      <w:r>
        <w:tab/>
        <w:t xml:space="preserve">Znanje i inovacije. </w:t>
      </w:r>
    </w:p>
    <w:p w:rsidR="00976CAE" w:rsidRDefault="00112B83">
      <w:r>
        <w:t xml:space="preserve"> </w:t>
      </w:r>
    </w:p>
    <w:p w:rsidR="00976CAE" w:rsidRDefault="00112B83">
      <w:r>
        <w:t xml:space="preserve">Sporazum o reformi zajedničke poljoprivredne politike (ZPP) službeno je donesen </w:t>
      </w:r>
      <w:r>
        <w:t xml:space="preserve">2. prosinca 2021. Novim propisima, koji su stupili na snagu 1 siječnja 2023., omogućuje se pravedniji i zeleniji ZPP koji više vodi računa o uspješnosti. </w:t>
      </w:r>
    </w:p>
    <w:p w:rsidR="00976CAE" w:rsidRDefault="00112B83">
      <w:r>
        <w:t xml:space="preserve"> </w:t>
      </w:r>
    </w:p>
    <w:p w:rsidR="00976CAE" w:rsidRDefault="00112B83">
      <w:r>
        <w:t>Njima se nastoji osigurati održiva budućnost za europske poljoprivrednike, pružiti usmjerenija potp</w:t>
      </w:r>
      <w:r>
        <w:t xml:space="preserve">ora manjim poljoprivrednim gospodarstvima i omogućiti veća fleksibilnost državama članicama EU-a u prilagodbi mjera lokalnim uvjetima. </w:t>
      </w:r>
    </w:p>
    <w:p w:rsidR="00976CAE" w:rsidRDefault="00112B83">
      <w:r>
        <w:t xml:space="preserve"> </w:t>
      </w:r>
    </w:p>
    <w:p w:rsidR="00976CAE" w:rsidRDefault="00112B83">
      <w:r>
        <w:t>Poljoprivreda i ruralna područja imaju središnju ulogu u europskom zelenom planu, a ZPP za razdoblje 2023. – 2027. bit</w:t>
      </w:r>
      <w:r>
        <w:t xml:space="preserve"> će ključan instrument u ostvarivanju ciljeva strategije „od polja do stola” i strategije za bioraznolikost. </w:t>
      </w:r>
    </w:p>
    <w:p w:rsidR="00976CAE" w:rsidRDefault="00112B83">
      <w:r>
        <w:t>Strateški plan ZPP-a 2023.-2027. obuhvaća mjere I. stupa Zajedničke poljoprivredne politike (izravna plaćanja, sektorske mjere, školska shema) i I</w:t>
      </w:r>
      <w:r>
        <w:t>I. stupa Zajedničke poljoprivredne politike (mjere ruralnog razvoja). Nakon provedene djelomične prilagodbe tijekom prijelaznog razdoblja u 2021. i 2022. godini, APPRRR nastavlja s radom na usklađivanju svojih procedura te operativnom provedbom svih spomen</w:t>
      </w:r>
      <w:r>
        <w:t>utih mjera odnosno intervencija.</w:t>
      </w:r>
    </w:p>
    <w:p w:rsidR="00976CAE" w:rsidRDefault="00112B83">
      <w:pPr>
        <w:pStyle w:val="Heading8"/>
        <w:jc w:val="left"/>
      </w:pPr>
      <w:r>
        <w:t>Cilj 1. Unaprijediti doprinos poljoprivrede okolišnim i klimatskim ciljevima EU</w:t>
      </w:r>
    </w:p>
    <w:p w:rsidR="00976CAE" w:rsidRDefault="00112B83">
      <w:pPr>
        <w:pStyle w:val="Heading8"/>
        <w:jc w:val="left"/>
      </w:pPr>
      <w:r>
        <w:t>Cilj 2. Unapređenje kvalitete života u ruralnim područjima</w:t>
      </w:r>
    </w:p>
    <w:p w:rsidR="00976CAE" w:rsidRDefault="00112B83">
      <w:pPr>
        <w:pStyle w:val="Heading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976CAE">
        <w:trPr>
          <w:jc w:val="center"/>
        </w:trPr>
        <w:tc>
          <w:tcPr>
            <w:tcW w:w="2245" w:type="dxa"/>
            <w:shd w:val="clear" w:color="auto" w:fill="B5C0D8"/>
          </w:tcPr>
          <w:p w:rsidR="00976CAE" w:rsidRDefault="00112B83">
            <w:pPr>
              <w:jc w:val="center"/>
            </w:pPr>
            <w:r>
              <w:t>Pokazatelj učinka</w:t>
            </w:r>
          </w:p>
        </w:tc>
        <w:tc>
          <w:tcPr>
            <w:tcW w:w="2245" w:type="dxa"/>
            <w:shd w:val="clear" w:color="auto" w:fill="B5C0D8"/>
          </w:tcPr>
          <w:p w:rsidR="00976CAE" w:rsidRDefault="00112B83">
            <w:pPr>
              <w:pStyle w:val="CellHeader"/>
              <w:jc w:val="center"/>
            </w:pPr>
            <w:r>
              <w:rPr>
                <w:rFonts w:cs="Times New Roman"/>
              </w:rPr>
              <w:t>Definicija</w:t>
            </w:r>
          </w:p>
        </w:tc>
        <w:tc>
          <w:tcPr>
            <w:tcW w:w="918" w:type="dxa"/>
            <w:shd w:val="clear" w:color="auto" w:fill="B5C0D8"/>
          </w:tcPr>
          <w:p w:rsidR="00976CAE" w:rsidRDefault="00112B83">
            <w:pPr>
              <w:pStyle w:val="CellHeader"/>
              <w:jc w:val="center"/>
            </w:pPr>
            <w:r>
              <w:rPr>
                <w:rFonts w:cs="Times New Roman"/>
              </w:rPr>
              <w:t>Jedinica</w:t>
            </w:r>
          </w:p>
        </w:tc>
        <w:tc>
          <w:tcPr>
            <w:tcW w:w="918" w:type="dxa"/>
            <w:shd w:val="clear" w:color="auto" w:fill="B5C0D8"/>
          </w:tcPr>
          <w:p w:rsidR="00976CAE" w:rsidRDefault="00112B83">
            <w:pPr>
              <w:pStyle w:val="CellHeader"/>
              <w:jc w:val="center"/>
            </w:pPr>
            <w:r>
              <w:rPr>
                <w:rFonts w:cs="Times New Roman"/>
              </w:rPr>
              <w:t>Polazna vrijednost</w:t>
            </w:r>
          </w:p>
        </w:tc>
        <w:tc>
          <w:tcPr>
            <w:tcW w:w="918" w:type="dxa"/>
            <w:shd w:val="clear" w:color="auto" w:fill="B5C0D8"/>
          </w:tcPr>
          <w:p w:rsidR="00976CAE" w:rsidRDefault="00112B83">
            <w:pPr>
              <w:pStyle w:val="CellHeader"/>
              <w:jc w:val="center"/>
            </w:pPr>
            <w:r>
              <w:rPr>
                <w:rFonts w:cs="Times New Roman"/>
              </w:rPr>
              <w:t>Izvor podataka</w:t>
            </w:r>
          </w:p>
        </w:tc>
        <w:tc>
          <w:tcPr>
            <w:tcW w:w="918" w:type="dxa"/>
            <w:shd w:val="clear" w:color="auto" w:fill="B5C0D8"/>
          </w:tcPr>
          <w:p w:rsidR="00976CAE" w:rsidRDefault="00112B83">
            <w:pPr>
              <w:pStyle w:val="CellHeader"/>
              <w:jc w:val="center"/>
            </w:pPr>
            <w:r>
              <w:rPr>
                <w:rFonts w:cs="Times New Roman"/>
              </w:rPr>
              <w:t>Ciljana vrijednost (2024.)</w:t>
            </w:r>
          </w:p>
        </w:tc>
        <w:tc>
          <w:tcPr>
            <w:tcW w:w="918" w:type="dxa"/>
            <w:shd w:val="clear" w:color="auto" w:fill="B5C0D8"/>
          </w:tcPr>
          <w:p w:rsidR="00976CAE" w:rsidRDefault="00112B83">
            <w:pPr>
              <w:pStyle w:val="CellHeader"/>
              <w:jc w:val="center"/>
            </w:pPr>
            <w:r>
              <w:rPr>
                <w:rFonts w:cs="Times New Roman"/>
              </w:rPr>
              <w:t>Ciljana vrijednost (2025.)</w:t>
            </w:r>
          </w:p>
        </w:tc>
        <w:tc>
          <w:tcPr>
            <w:tcW w:w="918" w:type="dxa"/>
            <w:shd w:val="clear" w:color="auto" w:fill="B5C0D8"/>
          </w:tcPr>
          <w:p w:rsidR="00976CAE" w:rsidRDefault="00112B83">
            <w:pPr>
              <w:pStyle w:val="CellHeader"/>
              <w:jc w:val="center"/>
            </w:pPr>
            <w:r>
              <w:rPr>
                <w:rFonts w:cs="Times New Roman"/>
              </w:rPr>
              <w:t>Ciljana vrijednost (2026.)</w:t>
            </w:r>
          </w:p>
        </w:tc>
      </w:tr>
      <w:tr w:rsidR="00976CAE">
        <w:trPr>
          <w:jc w:val="center"/>
        </w:trPr>
        <w:tc>
          <w:tcPr>
            <w:tcW w:w="2245" w:type="dxa"/>
            <w:vAlign w:val="top"/>
          </w:tcPr>
          <w:p w:rsidR="00976CAE" w:rsidRDefault="00112B83">
            <w:pPr>
              <w:pStyle w:val="CellColumn"/>
              <w:jc w:val="left"/>
            </w:pPr>
            <w:r>
              <w:rPr>
                <w:rFonts w:cs="Times New Roman"/>
              </w:rPr>
              <w:t>Rast faktorskog dohotka u poljoprivredi</w:t>
            </w:r>
          </w:p>
        </w:tc>
        <w:tc>
          <w:tcPr>
            <w:tcW w:w="2245" w:type="dxa"/>
            <w:vAlign w:val="top"/>
          </w:tcPr>
          <w:p w:rsidR="00976CAE" w:rsidRDefault="00112B83">
            <w:pPr>
              <w:pStyle w:val="CellColumn"/>
              <w:jc w:val="left"/>
            </w:pPr>
            <w:r>
              <w:rPr>
                <w:rFonts w:cs="Times New Roman"/>
              </w:rPr>
              <w:t>Faktorski dohodak jednak je neto dodanoj vrijednosti od koje su oduzeti porezi na proizvodnju, a dodane subvencije na p</w:t>
            </w:r>
            <w:r>
              <w:rPr>
                <w:rFonts w:cs="Times New Roman"/>
              </w:rPr>
              <w:t>roizvodnju</w:t>
            </w:r>
          </w:p>
        </w:tc>
        <w:tc>
          <w:tcPr>
            <w:tcW w:w="918" w:type="dxa"/>
          </w:tcPr>
          <w:p w:rsidR="00976CAE" w:rsidRDefault="00112B83">
            <w:pPr>
              <w:jc w:val="center"/>
            </w:pPr>
            <w:r>
              <w:t>Iznos u EUR</w:t>
            </w:r>
          </w:p>
        </w:tc>
        <w:tc>
          <w:tcPr>
            <w:tcW w:w="918" w:type="dxa"/>
          </w:tcPr>
          <w:p w:rsidR="00976CAE" w:rsidRDefault="00112B83">
            <w:pPr>
              <w:jc w:val="center"/>
            </w:pPr>
            <w:r>
              <w:t>5000</w:t>
            </w:r>
          </w:p>
        </w:tc>
        <w:tc>
          <w:tcPr>
            <w:tcW w:w="918" w:type="dxa"/>
          </w:tcPr>
          <w:p w:rsidR="00976CAE" w:rsidRDefault="00112B83">
            <w:pPr>
              <w:pStyle w:val="CellColumn"/>
              <w:jc w:val="center"/>
            </w:pPr>
            <w:r>
              <w:rPr>
                <w:rFonts w:cs="Times New Roman"/>
              </w:rPr>
              <w:t>MP</w:t>
            </w:r>
          </w:p>
        </w:tc>
        <w:tc>
          <w:tcPr>
            <w:tcW w:w="918" w:type="dxa"/>
          </w:tcPr>
          <w:p w:rsidR="00976CAE" w:rsidRDefault="00112B83">
            <w:pPr>
              <w:jc w:val="center"/>
            </w:pPr>
            <w:r>
              <w:t>7000</w:t>
            </w:r>
          </w:p>
        </w:tc>
        <w:tc>
          <w:tcPr>
            <w:tcW w:w="918" w:type="dxa"/>
          </w:tcPr>
          <w:p w:rsidR="00976CAE" w:rsidRDefault="00112B83">
            <w:pPr>
              <w:jc w:val="center"/>
            </w:pPr>
            <w:r>
              <w:t>8500</w:t>
            </w:r>
          </w:p>
        </w:tc>
        <w:tc>
          <w:tcPr>
            <w:tcW w:w="918" w:type="dxa"/>
          </w:tcPr>
          <w:p w:rsidR="00976CAE" w:rsidRDefault="00112B83">
            <w:pPr>
              <w:jc w:val="center"/>
            </w:pPr>
            <w:r>
              <w:t>10000</w:t>
            </w:r>
          </w:p>
        </w:tc>
      </w:tr>
    </w:tbl>
    <w:p w:rsidR="00976CAE" w:rsidRDefault="00976CAE">
      <w:pPr>
        <w:jc w:val="left"/>
      </w:pPr>
    </w:p>
    <w:p w:rsidR="00976CAE" w:rsidRDefault="00112B83">
      <w:pPr>
        <w:pStyle w:val="Heading4"/>
      </w:pPr>
      <w:r>
        <w:t>A841001 ADMINISTRACIJA I UPRAVLJANJE AGENCIJE ZA PLAĆANJA U POLJOPRIVREDI, RIBARSTVU I RURALNOM RAZVOJU</w:t>
      </w:r>
    </w:p>
    <w:p w:rsidR="00976CAE" w:rsidRDefault="00112B83">
      <w:pPr>
        <w:pStyle w:val="Heading8"/>
        <w:jc w:val="left"/>
      </w:pPr>
      <w:r>
        <w:t>Zakonske i druge pravne osnove</w:t>
      </w:r>
    </w:p>
    <w:p w:rsidR="00976CAE" w:rsidRDefault="00112B83">
      <w:r>
        <w:t xml:space="preserve">- Zakon o osnivanju Agencije za plaćanja u poljoprivredi, ribarstvu i ruralnom razvoju </w:t>
      </w:r>
    </w:p>
    <w:p w:rsidR="00976CAE" w:rsidRDefault="00112B83">
      <w:r>
        <w:t xml:space="preserve">- Statut Agencije za plaćanja u poljoprivredi, ribarstvu i ruralnom razvoju </w:t>
      </w:r>
    </w:p>
    <w:p w:rsidR="00976CAE" w:rsidRDefault="00112B83">
      <w:r>
        <w:t xml:space="preserve">- Pravilnik o korištenju službenih automobila Agencije za plaćanja u poljoprivredi, ribarstvu i ruralnom </w:t>
      </w:r>
    </w:p>
    <w:p w:rsidR="00976CAE" w:rsidRDefault="00112B83">
      <w:r>
        <w:t xml:space="preserve">razvoju </w:t>
      </w:r>
    </w:p>
    <w:p w:rsidR="00976CAE" w:rsidRDefault="00112B83">
      <w:r>
        <w:t xml:space="preserve">- Pravilnik o popisu imovine i obveza, rashodovanju i postupanju s kratkotrajnom i dugotrajnom imovinom </w:t>
      </w:r>
    </w:p>
    <w:p w:rsidR="00976CAE" w:rsidRDefault="00112B83">
      <w:r>
        <w:t>- Pravilnik o upravljanju informacij</w:t>
      </w:r>
      <w:r>
        <w:t xml:space="preserve">skom sigurnošću </w:t>
      </w:r>
    </w:p>
    <w:p w:rsidR="00976CAE" w:rsidRDefault="00112B83">
      <w:r>
        <w:t>- Pravilnik o unutarnjem ustrojstvu i sistematizaciji radnih mjesta</w:t>
      </w:r>
    </w:p>
    <w:tbl>
      <w:tblPr>
        <w:tblStyle w:val="StilTablice"/>
        <w:tblW w:w="10206" w:type="dxa"/>
        <w:jc w:val="center"/>
        <w:tblLook w:val="04A0" w:firstRow="1" w:lastRow="0" w:firstColumn="1" w:lastColumn="0" w:noHBand="0" w:noVBand="1"/>
      </w:tblPr>
      <w:tblGrid>
        <w:gridCol w:w="1452"/>
        <w:gridCol w:w="1556"/>
        <w:gridCol w:w="1557"/>
        <w:gridCol w:w="1557"/>
        <w:gridCol w:w="1557"/>
        <w:gridCol w:w="1557"/>
        <w:gridCol w:w="970"/>
      </w:tblGrid>
      <w:tr w:rsidR="00976CAE">
        <w:trPr>
          <w:jc w:val="center"/>
        </w:trPr>
        <w:tc>
          <w:tcPr>
            <w:tcW w:w="1530" w:type="dxa"/>
            <w:shd w:val="clear" w:color="auto" w:fill="B5C0D8"/>
          </w:tcPr>
          <w:p w:rsidR="00976CAE" w:rsidRDefault="00112B83">
            <w:pPr>
              <w:pStyle w:val="CellHeader"/>
              <w:jc w:val="center"/>
            </w:pPr>
            <w:r>
              <w:rPr>
                <w:rFonts w:cs="Times New Roman"/>
              </w:rPr>
              <w:t>Naziv aktivnosti</w:t>
            </w:r>
          </w:p>
        </w:tc>
        <w:tc>
          <w:tcPr>
            <w:tcW w:w="1632" w:type="dxa"/>
            <w:shd w:val="clear" w:color="auto" w:fill="B5C0D8"/>
          </w:tcPr>
          <w:p w:rsidR="00976CAE" w:rsidRDefault="00112B83">
            <w:pPr>
              <w:pStyle w:val="CellHeader"/>
              <w:jc w:val="center"/>
            </w:pPr>
            <w:r>
              <w:rPr>
                <w:rFonts w:cs="Times New Roman"/>
              </w:rPr>
              <w:t>Izvršenje 2022.</w:t>
            </w:r>
          </w:p>
        </w:tc>
        <w:tc>
          <w:tcPr>
            <w:tcW w:w="1632" w:type="dxa"/>
            <w:shd w:val="clear" w:color="auto" w:fill="B5C0D8"/>
          </w:tcPr>
          <w:p w:rsidR="00976CAE" w:rsidRDefault="00112B83">
            <w:pPr>
              <w:pStyle w:val="CellHeader"/>
              <w:jc w:val="center"/>
            </w:pPr>
            <w:r>
              <w:rPr>
                <w:rFonts w:cs="Times New Roman"/>
              </w:rPr>
              <w:t>Plan 2023.</w:t>
            </w:r>
          </w:p>
        </w:tc>
        <w:tc>
          <w:tcPr>
            <w:tcW w:w="1632" w:type="dxa"/>
            <w:shd w:val="clear" w:color="auto" w:fill="B5C0D8"/>
          </w:tcPr>
          <w:p w:rsidR="00976CAE" w:rsidRDefault="00112B83">
            <w:pPr>
              <w:pStyle w:val="CellHeader"/>
              <w:jc w:val="center"/>
            </w:pPr>
            <w:r>
              <w:rPr>
                <w:rFonts w:cs="Times New Roman"/>
              </w:rPr>
              <w:t>Plan 2024.</w:t>
            </w:r>
          </w:p>
        </w:tc>
        <w:tc>
          <w:tcPr>
            <w:tcW w:w="1632" w:type="dxa"/>
            <w:shd w:val="clear" w:color="auto" w:fill="B5C0D8"/>
          </w:tcPr>
          <w:p w:rsidR="00976CAE" w:rsidRDefault="00112B83">
            <w:pPr>
              <w:pStyle w:val="CellHeader"/>
              <w:jc w:val="center"/>
            </w:pPr>
            <w:r>
              <w:rPr>
                <w:rFonts w:cs="Times New Roman"/>
              </w:rPr>
              <w:t>Plan 2025.</w:t>
            </w:r>
          </w:p>
        </w:tc>
        <w:tc>
          <w:tcPr>
            <w:tcW w:w="1632" w:type="dxa"/>
            <w:shd w:val="clear" w:color="auto" w:fill="B5C0D8"/>
          </w:tcPr>
          <w:p w:rsidR="00976CAE" w:rsidRDefault="00112B83">
            <w:pPr>
              <w:pStyle w:val="CellHeader"/>
              <w:jc w:val="center"/>
            </w:pPr>
            <w:r>
              <w:rPr>
                <w:rFonts w:cs="Times New Roman"/>
              </w:rPr>
              <w:t>Plan 2026.</w:t>
            </w:r>
          </w:p>
        </w:tc>
        <w:tc>
          <w:tcPr>
            <w:tcW w:w="510" w:type="dxa"/>
            <w:shd w:val="clear" w:color="auto" w:fill="B5C0D8"/>
          </w:tcPr>
          <w:p w:rsidR="00976CAE" w:rsidRDefault="00112B83">
            <w:pPr>
              <w:pStyle w:val="CellHeader"/>
              <w:jc w:val="center"/>
            </w:pPr>
            <w:r>
              <w:rPr>
                <w:rFonts w:cs="Times New Roman"/>
              </w:rPr>
              <w:t>Indeks 2024/2023</w:t>
            </w:r>
          </w:p>
        </w:tc>
      </w:tr>
      <w:tr w:rsidR="00976CAE">
        <w:trPr>
          <w:jc w:val="center"/>
        </w:trPr>
        <w:tc>
          <w:tcPr>
            <w:tcW w:w="1530" w:type="dxa"/>
            <w:vAlign w:val="top"/>
          </w:tcPr>
          <w:p w:rsidR="00976CAE" w:rsidRDefault="00112B83">
            <w:pPr>
              <w:pStyle w:val="CellColumn"/>
              <w:jc w:val="left"/>
            </w:pPr>
            <w:r>
              <w:rPr>
                <w:rFonts w:cs="Times New Roman"/>
              </w:rPr>
              <w:lastRenderedPageBreak/>
              <w:t>A841001</w:t>
            </w:r>
          </w:p>
        </w:tc>
        <w:tc>
          <w:tcPr>
            <w:tcW w:w="1632" w:type="dxa"/>
            <w:vAlign w:val="top"/>
          </w:tcPr>
          <w:p w:rsidR="00976CAE" w:rsidRDefault="00112B83">
            <w:pPr>
              <w:jc w:val="right"/>
            </w:pPr>
            <w:r>
              <w:t>14.536.266</w:t>
            </w:r>
          </w:p>
        </w:tc>
        <w:tc>
          <w:tcPr>
            <w:tcW w:w="1632" w:type="dxa"/>
            <w:vAlign w:val="top"/>
          </w:tcPr>
          <w:p w:rsidR="00976CAE" w:rsidRDefault="00112B83">
            <w:pPr>
              <w:jc w:val="right"/>
            </w:pPr>
            <w:r>
              <w:t>16.975.930</w:t>
            </w:r>
          </w:p>
        </w:tc>
        <w:tc>
          <w:tcPr>
            <w:tcW w:w="1632" w:type="dxa"/>
            <w:vAlign w:val="top"/>
          </w:tcPr>
          <w:p w:rsidR="00976CAE" w:rsidRDefault="00112B83">
            <w:pPr>
              <w:jc w:val="right"/>
            </w:pPr>
            <w:r>
              <w:t>20.294.177</w:t>
            </w:r>
          </w:p>
        </w:tc>
        <w:tc>
          <w:tcPr>
            <w:tcW w:w="1632" w:type="dxa"/>
            <w:vAlign w:val="top"/>
          </w:tcPr>
          <w:p w:rsidR="00976CAE" w:rsidRDefault="00112B83">
            <w:pPr>
              <w:jc w:val="right"/>
            </w:pPr>
            <w:r>
              <w:t>21.668.979</w:t>
            </w:r>
          </w:p>
        </w:tc>
        <w:tc>
          <w:tcPr>
            <w:tcW w:w="1632" w:type="dxa"/>
            <w:vAlign w:val="top"/>
          </w:tcPr>
          <w:p w:rsidR="00976CAE" w:rsidRDefault="00112B83">
            <w:pPr>
              <w:jc w:val="right"/>
            </w:pPr>
            <w:r>
              <w:t>21.561.502</w:t>
            </w:r>
          </w:p>
        </w:tc>
        <w:tc>
          <w:tcPr>
            <w:tcW w:w="510" w:type="dxa"/>
            <w:vAlign w:val="top"/>
          </w:tcPr>
          <w:p w:rsidR="00976CAE" w:rsidRDefault="00112B83">
            <w:pPr>
              <w:jc w:val="right"/>
            </w:pPr>
            <w:r>
              <w:t>119,5</w:t>
            </w:r>
          </w:p>
        </w:tc>
      </w:tr>
    </w:tbl>
    <w:p w:rsidR="00976CAE" w:rsidRDefault="00976CAE">
      <w:pPr>
        <w:jc w:val="left"/>
      </w:pPr>
    </w:p>
    <w:p w:rsidR="00976CAE" w:rsidRDefault="00112B83">
      <w:r>
        <w:t xml:space="preserve">Ovom aktivnosti obuhvaćene su aktivnosti koje osiguravaju redovito poslovanje i obavljanje svih djelatnosti </w:t>
      </w:r>
    </w:p>
    <w:p w:rsidR="00976CAE" w:rsidRDefault="00112B83">
      <w:r>
        <w:t xml:space="preserve">Agencije za plaćanja u poljoprivredi, ribarstvu i ruralnom razvoju. Iz tih aktivnosti financiraju se rashodi za </w:t>
      </w:r>
    </w:p>
    <w:p w:rsidR="00976CAE" w:rsidRDefault="00112B83">
      <w:r>
        <w:t>zaposlene, korištenja usluga i dob</w:t>
      </w:r>
      <w:r>
        <w:t xml:space="preserve">ara, opremanje ureda. U 2024.g. planiran iznos rashoda za zaposlene iznosi </w:t>
      </w:r>
    </w:p>
    <w:p w:rsidR="00976CAE" w:rsidRDefault="00112B83">
      <w:r>
        <w:t>16.561.969</w:t>
      </w:r>
      <w:r>
        <w:t xml:space="preserve"> EUR-a, u 2025. iznosi 17.040.728</w:t>
      </w:r>
      <w:r>
        <w:t xml:space="preserve"> EUR-a, a u 2026. godini 17.418.490</w:t>
      </w:r>
      <w:r>
        <w:t xml:space="preserve"> EUR-a. Agencija za plaćanja je u mjesecu siječnju 2020.godine donijela Pravilnik o unutarnjem ustroju</w:t>
      </w:r>
      <w:r>
        <w:t xml:space="preserve"> i sistematizaciji radnih mjesta te u mjesecu kolovozu 2021. godine Pravilnik o izmjenama i dopunama Pravilnika o unutarnjem ustroju i sistematizaciji radnih mjesta kojim je dodatno optimizirala organizacijsku strukturu. Analizom obima posla (radnog optere</w:t>
      </w:r>
      <w:r>
        <w:t>ćenja) utvrđeno je da u Agenciji za plaćanja nema dovoljnog broja radnika i da bi trebalo promijeniti sistematizaciju rada. Naime novi ZPP postavlja nove ciljeve i mjere te procese. Kako bi se realizirali postavljeni ciljevi, nužno je mijenjati sistematiza</w:t>
      </w:r>
      <w:r>
        <w:t>ciju rada i uskladiti je s novim potrebama. O</w:t>
      </w:r>
      <w:bookmarkStart w:id="0" w:name="_GoBack"/>
      <w:bookmarkEnd w:id="0"/>
      <w:r>
        <w:t>d 01.01.2024. g. stupa na snagu novi Zakon o plaćama u državnoj službi i javnim službama. Stupanjem na snagu novog Zakona APPRRR planira uskladiti unutarnju organizaciju sa potrebama. Na dan 31.10.2023.g. APPRRR</w:t>
      </w:r>
      <w:r>
        <w:t xml:space="preserve"> broji 821 radnika. Tijekom 2023.g. zaposlena su 33 radnika na određeno vrijeme od dvije godine zbog povećanog obima posla, a do kraja godine planira ih zaposliti još 10. </w:t>
      </w:r>
    </w:p>
    <w:p w:rsidR="00976CAE" w:rsidRDefault="00112B83">
      <w:r>
        <w:t xml:space="preserve">APPRRR kontinuirano potiče i organizira usavršavanje svojih zaposlenika uzimajući u </w:t>
      </w:r>
      <w:r>
        <w:t>obzir individualne interese i potrebe posla, čime se kod zaposlenika potiče osjećaj vrijednosti i samopoštovanja, a ujedno se doprinosi cjelokupnom poslovanju. Tako će APPRRR i u narednim godinama nastojati iskoristiti sve raspoložive mogućnosti za osigura</w:t>
      </w:r>
      <w:r>
        <w:t xml:space="preserve">nje prikladnog sustava edukacija na svim razinama. </w:t>
      </w:r>
    </w:p>
    <w:p w:rsidR="00976CAE" w:rsidRDefault="00112B83">
      <w:r>
        <w:t>Uslijed povećanja broja radnika tijekom 2023.g. kao i utjecaja utjecaja inflacije te povećanja cijena zakupa poslovnog prostora, režijskih trošlkova i sl. povećani su i planirani materijalni rashodi po go</w:t>
      </w:r>
      <w:r>
        <w:t xml:space="preserve">dinama iznose za 2024. godinu 3.645.025 EUR-a, za 2025. godinu 4.072.668 EUR-a, a za 202. godinu 3.900.793EUR-a.  </w:t>
      </w:r>
    </w:p>
    <w:p w:rsidR="00976CAE" w:rsidRDefault="00112B83">
      <w:r>
        <w:t xml:space="preserve">Proračunom su planirani troškovi održavanja službenih automobila Agencije za plaćanja. Agencija trenutno </w:t>
      </w:r>
    </w:p>
    <w:p w:rsidR="00976CAE" w:rsidRDefault="00112B83">
      <w:r>
        <w:t>raspolaže sa 57 službenih vozila ko</w:t>
      </w:r>
      <w:r>
        <w:t>ji su po svim predviđenim kriterijama Smjernica za upravljanje voznim parkom, prešli granicu učinkovisti i ekonomičnosti. Vodeći se načelima spomenutih Smjernica, potrebno je pristupiti obnovi voznog parka koja je planirana u 2025.g., a do tada APPRRR plan</w:t>
      </w:r>
      <w:r>
        <w:t>ira alternativu nabavi službenog vozila i to koristeći renta car.  Automobili se koriste za obavljanje svakodnevnih poslova u nadležnosti APPRRR, a ponajprije u provedbi kontrola svih mjera koje provodi Agencija za plaćanja, sve u svrhu zakonitog i učinkov</w:t>
      </w:r>
      <w:r>
        <w:t xml:space="preserve">itog trošenja sredstava EU i Republike Hrvatske.  </w:t>
      </w:r>
    </w:p>
    <w:p w:rsidR="00976CAE" w:rsidRDefault="00112B83">
      <w:r>
        <w:t>Osim navedenog  APPRRR-a obavlja horizontalne poslove koji se odnose i na izradu, prilagodbu i ažuriranje procedura za rad, provedbu preporuka unutarnje i vanjskih revizija, upravljanje nepravilnostima, pr</w:t>
      </w:r>
      <w:r>
        <w:t>evenciju sukoba interesa, upravljanje rizicima, pripremu i provedbu tehničke pomoći, komunikaciju s korisnicima i informiranje šire javnosti, provedbu međunarodnih aktivnosti, upravljanje ljudskim potencijalima, osiguranje sredstava za rad djelatnika APPRR</w:t>
      </w:r>
      <w:r>
        <w:t xml:space="preserve">R-a, provedbu financijskih, računovodstvenih i knjigovodstvenih poslova, sustava javne nabave i pravnih poslova, izvještavanje o radu APPRRR-a, organizaciji zaštite na radu i sl. </w:t>
      </w:r>
    </w:p>
    <w:p w:rsidR="00976CAE" w:rsidRDefault="00112B83">
      <w:r>
        <w:t xml:space="preserve"> </w:t>
      </w:r>
    </w:p>
    <w:p w:rsidR="00976CAE" w:rsidRDefault="00112B83">
      <w:r>
        <w:t>Osim izvora 11 Opći prihodi i primici iz kojih APPRRR planira finacirati v</w:t>
      </w:r>
      <w:r>
        <w:t>ećinu rashoda a koji se odnose na poslovanje agencije (plaće, režije, putni troškovi) , dio prihoda odnosi se na izvor 31 - Vlastiti prihodi, odnosno prihode ostvarene u internom kafiću. Iz istih će se financirati isključivo rashodi vezani uz poslovanje in</w:t>
      </w:r>
      <w:r>
        <w:t>ternog kafića. Dio prihoda planira ostvariti na izvoru 51 - Pomoći EU. – odnosi se refundaciju putnih troškova od strane Europske komisije. Ti prihodi su planirani u svim godinama u istom iznosu od 21.236 EUR-a.</w:t>
      </w:r>
    </w:p>
    <w:p w:rsidR="00976CAE" w:rsidRDefault="00112B83">
      <w:pPr>
        <w:pStyle w:val="Heading4"/>
      </w:pPr>
      <w:r>
        <w:t>A841007 ORGANIZICIJA MEĐUNARODNIH DOGAĐANJA</w:t>
      </w:r>
    </w:p>
    <w:p w:rsidR="00976CAE" w:rsidRDefault="00112B83">
      <w:pPr>
        <w:pStyle w:val="Heading8"/>
        <w:jc w:val="left"/>
      </w:pPr>
      <w:r>
        <w:t>Zakonske i druge pravne osnove</w:t>
      </w:r>
    </w:p>
    <w:p w:rsidR="00976CAE" w:rsidRDefault="00112B83">
      <w:r>
        <w:t xml:space="preserve">- Bilateralni sporazumi o suradnji između APPRRR-a i partnerskih institucija država članica EU i država </w:t>
      </w:r>
    </w:p>
    <w:p w:rsidR="00976CAE" w:rsidRDefault="00112B83">
      <w:r>
        <w:t xml:space="preserve">kandidatkinja za pristup EU </w:t>
      </w:r>
    </w:p>
    <w:p w:rsidR="00976CAE" w:rsidRDefault="00112B83">
      <w:r>
        <w:t>- Zakon o provedbi projekata međunarodne institucionalne suradnje europske unije i projekat</w:t>
      </w:r>
      <w:r>
        <w:t>a tehničke pomoći</w:t>
      </w:r>
    </w:p>
    <w:tbl>
      <w:tblPr>
        <w:tblStyle w:val="StilTablice"/>
        <w:tblW w:w="10206" w:type="dxa"/>
        <w:jc w:val="center"/>
        <w:tblLook w:val="04A0" w:firstRow="1" w:lastRow="0" w:firstColumn="1" w:lastColumn="0" w:noHBand="0" w:noVBand="1"/>
      </w:tblPr>
      <w:tblGrid>
        <w:gridCol w:w="1477"/>
        <w:gridCol w:w="1566"/>
        <w:gridCol w:w="1542"/>
        <w:gridCol w:w="1542"/>
        <w:gridCol w:w="1559"/>
        <w:gridCol w:w="1550"/>
        <w:gridCol w:w="970"/>
      </w:tblGrid>
      <w:tr w:rsidR="00976CAE">
        <w:trPr>
          <w:jc w:val="center"/>
        </w:trPr>
        <w:tc>
          <w:tcPr>
            <w:tcW w:w="1530" w:type="dxa"/>
            <w:shd w:val="clear" w:color="auto" w:fill="B5C0D8"/>
          </w:tcPr>
          <w:p w:rsidR="00976CAE" w:rsidRDefault="00112B83">
            <w:pPr>
              <w:pStyle w:val="CellHeader"/>
              <w:jc w:val="center"/>
            </w:pPr>
            <w:r>
              <w:rPr>
                <w:rFonts w:cs="Times New Roman"/>
              </w:rPr>
              <w:lastRenderedPageBreak/>
              <w:t>Naziv aktivnosti</w:t>
            </w:r>
          </w:p>
        </w:tc>
        <w:tc>
          <w:tcPr>
            <w:tcW w:w="1632" w:type="dxa"/>
            <w:shd w:val="clear" w:color="auto" w:fill="B5C0D8"/>
          </w:tcPr>
          <w:p w:rsidR="00976CAE" w:rsidRDefault="00112B83">
            <w:pPr>
              <w:pStyle w:val="CellHeader"/>
              <w:jc w:val="center"/>
            </w:pPr>
            <w:r>
              <w:rPr>
                <w:rFonts w:cs="Times New Roman"/>
              </w:rPr>
              <w:t>Izvršenje 2022.</w:t>
            </w:r>
          </w:p>
        </w:tc>
        <w:tc>
          <w:tcPr>
            <w:tcW w:w="1632" w:type="dxa"/>
            <w:shd w:val="clear" w:color="auto" w:fill="B5C0D8"/>
          </w:tcPr>
          <w:p w:rsidR="00976CAE" w:rsidRDefault="00112B83">
            <w:pPr>
              <w:pStyle w:val="CellHeader"/>
              <w:jc w:val="center"/>
            </w:pPr>
            <w:r>
              <w:rPr>
                <w:rFonts w:cs="Times New Roman"/>
              </w:rPr>
              <w:t>Plan 2023.</w:t>
            </w:r>
          </w:p>
        </w:tc>
        <w:tc>
          <w:tcPr>
            <w:tcW w:w="1632" w:type="dxa"/>
            <w:shd w:val="clear" w:color="auto" w:fill="B5C0D8"/>
          </w:tcPr>
          <w:p w:rsidR="00976CAE" w:rsidRDefault="00112B83">
            <w:pPr>
              <w:pStyle w:val="CellHeader"/>
              <w:jc w:val="center"/>
            </w:pPr>
            <w:r>
              <w:rPr>
                <w:rFonts w:cs="Times New Roman"/>
              </w:rPr>
              <w:t>Plan 2024.</w:t>
            </w:r>
          </w:p>
        </w:tc>
        <w:tc>
          <w:tcPr>
            <w:tcW w:w="1632" w:type="dxa"/>
            <w:shd w:val="clear" w:color="auto" w:fill="B5C0D8"/>
          </w:tcPr>
          <w:p w:rsidR="00976CAE" w:rsidRDefault="00112B83">
            <w:pPr>
              <w:pStyle w:val="CellHeader"/>
              <w:jc w:val="center"/>
            </w:pPr>
            <w:r>
              <w:rPr>
                <w:rFonts w:cs="Times New Roman"/>
              </w:rPr>
              <w:t>Plan 2025.</w:t>
            </w:r>
          </w:p>
        </w:tc>
        <w:tc>
          <w:tcPr>
            <w:tcW w:w="1632" w:type="dxa"/>
            <w:shd w:val="clear" w:color="auto" w:fill="B5C0D8"/>
          </w:tcPr>
          <w:p w:rsidR="00976CAE" w:rsidRDefault="00112B83">
            <w:pPr>
              <w:pStyle w:val="CellHeader"/>
              <w:jc w:val="center"/>
            </w:pPr>
            <w:r>
              <w:rPr>
                <w:rFonts w:cs="Times New Roman"/>
              </w:rPr>
              <w:t>Plan 2026.</w:t>
            </w:r>
          </w:p>
        </w:tc>
        <w:tc>
          <w:tcPr>
            <w:tcW w:w="510" w:type="dxa"/>
            <w:shd w:val="clear" w:color="auto" w:fill="B5C0D8"/>
          </w:tcPr>
          <w:p w:rsidR="00976CAE" w:rsidRDefault="00112B83">
            <w:pPr>
              <w:pStyle w:val="CellHeader"/>
              <w:jc w:val="center"/>
            </w:pPr>
            <w:r>
              <w:rPr>
                <w:rFonts w:cs="Times New Roman"/>
              </w:rPr>
              <w:t>Indeks 2024/2023</w:t>
            </w:r>
          </w:p>
        </w:tc>
      </w:tr>
      <w:tr w:rsidR="00976CAE">
        <w:trPr>
          <w:jc w:val="center"/>
        </w:trPr>
        <w:tc>
          <w:tcPr>
            <w:tcW w:w="1530" w:type="dxa"/>
            <w:vAlign w:val="top"/>
          </w:tcPr>
          <w:p w:rsidR="00976CAE" w:rsidRDefault="00112B83">
            <w:pPr>
              <w:pStyle w:val="CellColumn"/>
              <w:jc w:val="left"/>
            </w:pPr>
            <w:r>
              <w:rPr>
                <w:rFonts w:cs="Times New Roman"/>
              </w:rPr>
              <w:t>A841007</w:t>
            </w:r>
          </w:p>
        </w:tc>
        <w:tc>
          <w:tcPr>
            <w:tcW w:w="1632" w:type="dxa"/>
            <w:vAlign w:val="top"/>
          </w:tcPr>
          <w:p w:rsidR="00976CAE" w:rsidRDefault="00112B83">
            <w:pPr>
              <w:jc w:val="right"/>
            </w:pPr>
            <w:r>
              <w:t>18.633</w:t>
            </w:r>
          </w:p>
        </w:tc>
        <w:tc>
          <w:tcPr>
            <w:tcW w:w="1632" w:type="dxa"/>
            <w:vAlign w:val="top"/>
          </w:tcPr>
          <w:p w:rsidR="00976CAE" w:rsidRDefault="00112B83">
            <w:pPr>
              <w:jc w:val="right"/>
            </w:pPr>
            <w:r>
              <w:t>00</w:t>
            </w:r>
          </w:p>
        </w:tc>
        <w:tc>
          <w:tcPr>
            <w:tcW w:w="1632" w:type="dxa"/>
            <w:vAlign w:val="top"/>
          </w:tcPr>
          <w:p w:rsidR="00976CAE" w:rsidRDefault="00112B83">
            <w:pPr>
              <w:jc w:val="right"/>
            </w:pPr>
            <w:r>
              <w:t>6.636</w:t>
            </w:r>
          </w:p>
        </w:tc>
        <w:tc>
          <w:tcPr>
            <w:tcW w:w="1632" w:type="dxa"/>
            <w:vAlign w:val="top"/>
          </w:tcPr>
          <w:p w:rsidR="00976CAE" w:rsidRDefault="00112B83">
            <w:pPr>
              <w:jc w:val="right"/>
            </w:pPr>
            <w:r>
              <w:t>120.000</w:t>
            </w:r>
          </w:p>
        </w:tc>
        <w:tc>
          <w:tcPr>
            <w:tcW w:w="1632" w:type="dxa"/>
            <w:vAlign w:val="top"/>
          </w:tcPr>
          <w:p w:rsidR="00976CAE" w:rsidRDefault="00112B83">
            <w:pPr>
              <w:jc w:val="right"/>
            </w:pPr>
            <w:r>
              <w:t>22.563</w:t>
            </w:r>
          </w:p>
        </w:tc>
        <w:tc>
          <w:tcPr>
            <w:tcW w:w="510" w:type="dxa"/>
            <w:vAlign w:val="top"/>
          </w:tcPr>
          <w:p w:rsidR="00976CAE" w:rsidRDefault="00112B83">
            <w:pPr>
              <w:jc w:val="right"/>
            </w:pPr>
            <w:r>
              <w:t>0,0</w:t>
            </w:r>
          </w:p>
        </w:tc>
      </w:tr>
    </w:tbl>
    <w:p w:rsidR="00976CAE" w:rsidRDefault="00976CAE">
      <w:pPr>
        <w:jc w:val="left"/>
      </w:pPr>
    </w:p>
    <w:p w:rsidR="00976CAE" w:rsidRDefault="00112B83">
      <w:r>
        <w:t xml:space="preserve">Agencija za plaćanja potiče i razvija razne oblike međunarodne suradnje s nizom europskih Agencija za plaćanja i </w:t>
      </w:r>
    </w:p>
    <w:p w:rsidR="00976CAE" w:rsidRDefault="00112B83">
      <w:r>
        <w:t xml:space="preserve">drugim relevantnim institucijama. Suradnja uključuje razmjenu stručnjaka, održavanje međunarodnih konferencija, </w:t>
      </w:r>
    </w:p>
    <w:p w:rsidR="00976CAE" w:rsidRDefault="00112B83">
      <w:r>
        <w:t>seminara, organizaciju studij</w:t>
      </w:r>
      <w:r>
        <w:t xml:space="preserve">skih posjeta, organizaciju sastanaka na stručnoj i visokoj razini te stručno </w:t>
      </w:r>
    </w:p>
    <w:p w:rsidR="00976CAE" w:rsidRDefault="00112B83">
      <w:r>
        <w:t xml:space="preserve">usavršavanje. Zbog pandemije COVID-19 nema konkretnijih planova za dugoročno razdoblje. Planirani bilateralni </w:t>
      </w:r>
    </w:p>
    <w:p w:rsidR="00976CAE" w:rsidRDefault="00112B83">
      <w:r>
        <w:t>sastanci neće dovesti do značajnijih troškova osim eventualno služb</w:t>
      </w:r>
      <w:r>
        <w:t xml:space="preserve">enih putovanja koja će se financirati iz mjera </w:t>
      </w:r>
    </w:p>
    <w:p w:rsidR="00976CAE" w:rsidRDefault="00112B83">
      <w:r>
        <w:t xml:space="preserve">tehničke pomoći. </w:t>
      </w:r>
    </w:p>
    <w:p w:rsidR="00976CAE" w:rsidRDefault="00112B83">
      <w:r>
        <w:t>2025.g. APPRRR planira organizaciju konferencije PantaRhei. Panta Rhei je ICT radna grupa koju čine predstavnici ICT stručnjaka Agencija za plaćanja EU. Svrha ove radne grupe je ostvariti št</w:t>
      </w:r>
      <w:r>
        <w:t>o bolju razmjenu iskustava i znanja u području informacijskih tehnologija u agencijama za plaćanja kako bi se poboljšavala provedba ZPP-a. Okupljaju (uz predstavnike Agencija za plaćanja svih zemalja članica EU) također i predstavnike Europske komisije, Eu</w:t>
      </w:r>
      <w:r>
        <w:t>ropskog revizorskog suda, te predstavnike zemlja kandidatkinja i zemalja pristupnica EU. Hrvatska Agencija za plaćanja uz Belgiju, Dansku, Portugal, Irsku, Cipar i Finsku nalazi se u Upravnom odboru PantaRhei grupe kojom trenutno predsjeda slovenska Agenci</w:t>
      </w:r>
      <w:r>
        <w:t xml:space="preserve">ja za plaćanja. PR Upravni odbor sastaje se dva puta godišnje. Također, dva puta godišnje organizira se konferencija na kojoj osim ZČ sudjeluju predstavnici Europske komisije i Europskog revizorskog suda. Konferencija se svaki put održava u drugoj ZČ koje </w:t>
      </w:r>
      <w:r>
        <w:t xml:space="preserve">se rotiraju. Države članice EU plaćaju godišnju članarinu tajništvu PantaRhei 4000 eura. Europska komisija sufinancira organizaciju konferencije u iznosu od 60.000 eura (izvor 51 - Pomoći EU) te daje na raspolaganje prevoditelje iz Uprave za prevođenje DG </w:t>
      </w:r>
      <w:r>
        <w:t>Agrija. Agencija za plaćanja će preuzeti domaćinstvo 64. Panta Rhei konferencije u Hrvatskoj.</w:t>
      </w:r>
    </w:p>
    <w:p w:rsidR="00976CAE" w:rsidRDefault="00112B83">
      <w:pPr>
        <w:pStyle w:val="Heading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976CAE">
        <w:trPr>
          <w:jc w:val="center"/>
        </w:trPr>
        <w:tc>
          <w:tcPr>
            <w:tcW w:w="2245" w:type="dxa"/>
            <w:shd w:val="clear" w:color="auto" w:fill="B5C0D8"/>
          </w:tcPr>
          <w:p w:rsidR="00976CAE" w:rsidRDefault="00112B83">
            <w:pPr>
              <w:jc w:val="center"/>
            </w:pPr>
            <w:r>
              <w:t>Pokazatelj rezultata</w:t>
            </w:r>
          </w:p>
        </w:tc>
        <w:tc>
          <w:tcPr>
            <w:tcW w:w="2245" w:type="dxa"/>
            <w:shd w:val="clear" w:color="auto" w:fill="B5C0D8"/>
          </w:tcPr>
          <w:p w:rsidR="00976CAE" w:rsidRDefault="00112B83">
            <w:pPr>
              <w:pStyle w:val="CellHeader"/>
              <w:jc w:val="center"/>
            </w:pPr>
            <w:r>
              <w:rPr>
                <w:rFonts w:cs="Times New Roman"/>
              </w:rPr>
              <w:t>Definicija</w:t>
            </w:r>
          </w:p>
        </w:tc>
        <w:tc>
          <w:tcPr>
            <w:tcW w:w="918" w:type="dxa"/>
            <w:shd w:val="clear" w:color="auto" w:fill="B5C0D8"/>
          </w:tcPr>
          <w:p w:rsidR="00976CAE" w:rsidRDefault="00112B83">
            <w:pPr>
              <w:pStyle w:val="CellHeader"/>
              <w:jc w:val="center"/>
            </w:pPr>
            <w:r>
              <w:rPr>
                <w:rFonts w:cs="Times New Roman"/>
              </w:rPr>
              <w:t>Jedinica</w:t>
            </w:r>
          </w:p>
        </w:tc>
        <w:tc>
          <w:tcPr>
            <w:tcW w:w="918" w:type="dxa"/>
            <w:shd w:val="clear" w:color="auto" w:fill="B5C0D8"/>
          </w:tcPr>
          <w:p w:rsidR="00976CAE" w:rsidRDefault="00112B83">
            <w:pPr>
              <w:pStyle w:val="CellHeader"/>
              <w:jc w:val="center"/>
            </w:pPr>
            <w:r>
              <w:rPr>
                <w:rFonts w:cs="Times New Roman"/>
              </w:rPr>
              <w:t>Polazna vrijednost</w:t>
            </w:r>
          </w:p>
        </w:tc>
        <w:tc>
          <w:tcPr>
            <w:tcW w:w="918" w:type="dxa"/>
            <w:shd w:val="clear" w:color="auto" w:fill="B5C0D8"/>
          </w:tcPr>
          <w:p w:rsidR="00976CAE" w:rsidRDefault="00112B83">
            <w:pPr>
              <w:pStyle w:val="CellHeader"/>
              <w:jc w:val="center"/>
            </w:pPr>
            <w:r>
              <w:rPr>
                <w:rFonts w:cs="Times New Roman"/>
              </w:rPr>
              <w:t>Izvor podataka</w:t>
            </w:r>
          </w:p>
        </w:tc>
        <w:tc>
          <w:tcPr>
            <w:tcW w:w="918" w:type="dxa"/>
            <w:shd w:val="clear" w:color="auto" w:fill="B5C0D8"/>
          </w:tcPr>
          <w:p w:rsidR="00976CAE" w:rsidRDefault="00112B83">
            <w:pPr>
              <w:pStyle w:val="CellHeader"/>
              <w:jc w:val="center"/>
            </w:pPr>
            <w:r>
              <w:rPr>
                <w:rFonts w:cs="Times New Roman"/>
              </w:rPr>
              <w:t>Ciljana vrijednost (2024.)</w:t>
            </w:r>
          </w:p>
        </w:tc>
        <w:tc>
          <w:tcPr>
            <w:tcW w:w="918" w:type="dxa"/>
            <w:shd w:val="clear" w:color="auto" w:fill="B5C0D8"/>
          </w:tcPr>
          <w:p w:rsidR="00976CAE" w:rsidRDefault="00112B83">
            <w:pPr>
              <w:pStyle w:val="CellHeader"/>
              <w:jc w:val="center"/>
            </w:pPr>
            <w:r>
              <w:rPr>
                <w:rFonts w:cs="Times New Roman"/>
              </w:rPr>
              <w:t>Ciljana vrijednost (2025.)</w:t>
            </w:r>
          </w:p>
        </w:tc>
        <w:tc>
          <w:tcPr>
            <w:tcW w:w="918" w:type="dxa"/>
            <w:shd w:val="clear" w:color="auto" w:fill="B5C0D8"/>
          </w:tcPr>
          <w:p w:rsidR="00976CAE" w:rsidRDefault="00112B83">
            <w:pPr>
              <w:pStyle w:val="CellHeader"/>
              <w:jc w:val="center"/>
            </w:pPr>
            <w:r>
              <w:rPr>
                <w:rFonts w:cs="Times New Roman"/>
              </w:rPr>
              <w:t>Ciljana vri</w:t>
            </w:r>
            <w:r>
              <w:rPr>
                <w:rFonts w:cs="Times New Roman"/>
              </w:rPr>
              <w:t>jednost (2026.)</w:t>
            </w:r>
          </w:p>
        </w:tc>
      </w:tr>
      <w:tr w:rsidR="00976CAE">
        <w:trPr>
          <w:jc w:val="center"/>
        </w:trPr>
        <w:tc>
          <w:tcPr>
            <w:tcW w:w="2245" w:type="dxa"/>
            <w:vAlign w:val="top"/>
          </w:tcPr>
          <w:p w:rsidR="00976CAE" w:rsidRDefault="00112B83">
            <w:pPr>
              <w:pStyle w:val="CellColumn"/>
              <w:jc w:val="left"/>
            </w:pPr>
            <w:r>
              <w:rPr>
                <w:rFonts w:cs="Times New Roman"/>
              </w:rPr>
              <w:t>Broj održanih bilateralnih i multiralnih sastanaka/događaja</w:t>
            </w:r>
          </w:p>
        </w:tc>
        <w:tc>
          <w:tcPr>
            <w:tcW w:w="2245" w:type="dxa"/>
            <w:vAlign w:val="top"/>
          </w:tcPr>
          <w:p w:rsidR="00976CAE" w:rsidRDefault="00112B83">
            <w:pPr>
              <w:pStyle w:val="CellColumn"/>
              <w:jc w:val="left"/>
            </w:pPr>
            <w:r>
              <w:rPr>
                <w:rFonts w:cs="Times New Roman"/>
              </w:rPr>
              <w:t xml:space="preserve">Putem sastanaka i </w:t>
            </w:r>
          </w:p>
          <w:p w:rsidR="00976CAE" w:rsidRDefault="00112B83">
            <w:pPr>
              <w:pStyle w:val="CellColumn"/>
              <w:jc w:val="left"/>
            </w:pPr>
            <w:r>
              <w:rPr>
                <w:rFonts w:cs="Times New Roman"/>
              </w:rPr>
              <w:t xml:space="preserve">događaja unaprijedit </w:t>
            </w:r>
          </w:p>
          <w:p w:rsidR="00976CAE" w:rsidRDefault="00112B83">
            <w:pPr>
              <w:pStyle w:val="CellColumn"/>
              <w:jc w:val="left"/>
            </w:pPr>
            <w:r>
              <w:rPr>
                <w:rFonts w:cs="Times New Roman"/>
              </w:rPr>
              <w:t xml:space="preserve">će se odnosi s drugim </w:t>
            </w:r>
          </w:p>
          <w:p w:rsidR="00976CAE" w:rsidRDefault="00112B83">
            <w:pPr>
              <w:pStyle w:val="CellColumn"/>
              <w:jc w:val="left"/>
            </w:pPr>
            <w:r>
              <w:rPr>
                <w:rFonts w:cs="Times New Roman"/>
              </w:rPr>
              <w:t xml:space="preserve">državama, </w:t>
            </w:r>
          </w:p>
          <w:p w:rsidR="00976CAE" w:rsidRDefault="00112B83">
            <w:pPr>
              <w:pStyle w:val="CellColumn"/>
              <w:jc w:val="left"/>
            </w:pPr>
            <w:r>
              <w:rPr>
                <w:rFonts w:cs="Times New Roman"/>
              </w:rPr>
              <w:t>međunarodnim tijelima</w:t>
            </w:r>
          </w:p>
        </w:tc>
        <w:tc>
          <w:tcPr>
            <w:tcW w:w="918" w:type="dxa"/>
          </w:tcPr>
          <w:p w:rsidR="00976CAE" w:rsidRDefault="00112B83">
            <w:pPr>
              <w:jc w:val="center"/>
            </w:pPr>
            <w:r>
              <w:t>broj</w:t>
            </w:r>
          </w:p>
        </w:tc>
        <w:tc>
          <w:tcPr>
            <w:tcW w:w="918" w:type="dxa"/>
          </w:tcPr>
          <w:p w:rsidR="00976CAE" w:rsidRDefault="00112B83">
            <w:pPr>
              <w:jc w:val="center"/>
            </w:pPr>
            <w:r>
              <w:t>0</w:t>
            </w:r>
          </w:p>
        </w:tc>
        <w:tc>
          <w:tcPr>
            <w:tcW w:w="918" w:type="dxa"/>
          </w:tcPr>
          <w:p w:rsidR="00976CAE" w:rsidRDefault="00112B83">
            <w:pPr>
              <w:pStyle w:val="CellColumn"/>
              <w:jc w:val="center"/>
            </w:pPr>
            <w:r>
              <w:rPr>
                <w:rFonts w:cs="Times New Roman"/>
              </w:rPr>
              <w:t>APPRRR</w:t>
            </w:r>
          </w:p>
        </w:tc>
        <w:tc>
          <w:tcPr>
            <w:tcW w:w="918" w:type="dxa"/>
          </w:tcPr>
          <w:p w:rsidR="00976CAE" w:rsidRDefault="00112B83">
            <w:pPr>
              <w:jc w:val="center"/>
            </w:pPr>
            <w:r>
              <w:t>14</w:t>
            </w:r>
          </w:p>
        </w:tc>
        <w:tc>
          <w:tcPr>
            <w:tcW w:w="918" w:type="dxa"/>
          </w:tcPr>
          <w:p w:rsidR="00976CAE" w:rsidRDefault="00112B83">
            <w:pPr>
              <w:jc w:val="center"/>
            </w:pPr>
            <w:r>
              <w:t>15</w:t>
            </w:r>
          </w:p>
        </w:tc>
        <w:tc>
          <w:tcPr>
            <w:tcW w:w="918" w:type="dxa"/>
          </w:tcPr>
          <w:p w:rsidR="00976CAE" w:rsidRDefault="00112B83">
            <w:pPr>
              <w:jc w:val="center"/>
            </w:pPr>
            <w:r>
              <w:t>14</w:t>
            </w:r>
          </w:p>
        </w:tc>
      </w:tr>
    </w:tbl>
    <w:p w:rsidR="00976CAE" w:rsidRDefault="00976CAE">
      <w:pPr>
        <w:jc w:val="left"/>
      </w:pPr>
    </w:p>
    <w:p w:rsidR="00976CAE" w:rsidRDefault="00112B83">
      <w:pPr>
        <w:pStyle w:val="Heading4"/>
      </w:pPr>
      <w:r>
        <w:t>K650068 USPOSTAVA INTEGRIRANOG ADMINISTRATIVNOG  KONTROLNOG SUSTAVA - LPIS</w:t>
      </w:r>
    </w:p>
    <w:p w:rsidR="00976CAE" w:rsidRDefault="00112B83">
      <w:pPr>
        <w:pStyle w:val="Heading8"/>
        <w:jc w:val="left"/>
      </w:pPr>
      <w:r>
        <w:t>Zakonske i druge pravne osnove</w:t>
      </w:r>
    </w:p>
    <w:p w:rsidR="00976CAE" w:rsidRDefault="00112B83">
      <w:r>
        <w:t xml:space="preserve">- Strateški plana Zajedničke poljoprivredne politike 2023. - 2027. </w:t>
      </w:r>
    </w:p>
    <w:p w:rsidR="00976CAE" w:rsidRDefault="00112B83">
      <w:r>
        <w:t xml:space="preserve">- Programa državne potpore za iznimno osjetljive sektore u poljoprivredi </w:t>
      </w:r>
    </w:p>
    <w:p w:rsidR="00976CAE" w:rsidRDefault="00112B83">
      <w:r>
        <w:t>- Pravil</w:t>
      </w:r>
      <w:r>
        <w:t xml:space="preserve">nik o provedbi izravne potpore poljoprivredi i IAKS mjera ruralnog razvoja u 2023. </w:t>
      </w:r>
    </w:p>
    <w:p w:rsidR="00976CAE" w:rsidRDefault="00112B83">
      <w:r>
        <w:t xml:space="preserve">- Uredba (EU) br. 2021/2115 Europskog parlamenta i Vijeća od 2. prosinca 2021. o utvrđivanju pravila o potpori za  </w:t>
      </w:r>
    </w:p>
    <w:p w:rsidR="00976CAE" w:rsidRDefault="00112B83">
      <w:r>
        <w:t xml:space="preserve">  strateške planove koje izrađuju države članice u okvir</w:t>
      </w:r>
      <w:r>
        <w:t xml:space="preserve">u zajedničke poljoprivredne politike (strateški planovi u okviru ZPP-  </w:t>
      </w:r>
    </w:p>
    <w:p w:rsidR="00976CAE" w:rsidRDefault="00112B83">
      <w:r>
        <w:t xml:space="preserve">  a) i koji se financiraju iz Europskog fonda za jamstva u poljoprivredi (EFJP) i Europskog poljoprivrednog fonda za ruralni  </w:t>
      </w:r>
    </w:p>
    <w:p w:rsidR="00976CAE" w:rsidRDefault="00112B83">
      <w:r>
        <w:t xml:space="preserve">  razvoj (EPFRR) te o stavljanju izvan snage uredbi (EU) </w:t>
      </w:r>
      <w:r>
        <w:t xml:space="preserve">br. 1305/2013 i (EU) br. 1307/2013 </w:t>
      </w:r>
    </w:p>
    <w:p w:rsidR="00976CAE" w:rsidRDefault="00112B83">
      <w:r>
        <w:lastRenderedPageBreak/>
        <w:t xml:space="preserve">- Provedbena uredba Komisije (EU) 2022/1475 оd 6. rujna 2022. o utvrđivanju detaljnih pravila za provedbu Uredbe (EU)  </w:t>
      </w:r>
    </w:p>
    <w:p w:rsidR="00976CAE" w:rsidRDefault="00112B83">
      <w:r>
        <w:t xml:space="preserve">  2021/2115 Europskog parlamenta i Vijeća u pogledu evaluacije strateških planova u okviru ZPP-a i p</w:t>
      </w:r>
      <w:r>
        <w:t xml:space="preserve">ružanja informacija  </w:t>
      </w:r>
    </w:p>
    <w:p w:rsidR="00976CAE" w:rsidRDefault="00112B83">
      <w:r>
        <w:t xml:space="preserve">  za praćenje i evaluaciju</w:t>
      </w:r>
    </w:p>
    <w:tbl>
      <w:tblPr>
        <w:tblStyle w:val="StilTablice"/>
        <w:tblW w:w="10206" w:type="dxa"/>
        <w:jc w:val="center"/>
        <w:tblLook w:val="04A0" w:firstRow="1" w:lastRow="0" w:firstColumn="1" w:lastColumn="0" w:noHBand="0" w:noVBand="1"/>
      </w:tblPr>
      <w:tblGrid>
        <w:gridCol w:w="1468"/>
        <w:gridCol w:w="1554"/>
        <w:gridCol w:w="1546"/>
        <w:gridCol w:w="1546"/>
        <w:gridCol w:w="1561"/>
        <w:gridCol w:w="1561"/>
        <w:gridCol w:w="970"/>
      </w:tblGrid>
      <w:tr w:rsidR="00976CAE">
        <w:trPr>
          <w:jc w:val="center"/>
        </w:trPr>
        <w:tc>
          <w:tcPr>
            <w:tcW w:w="1530" w:type="dxa"/>
            <w:shd w:val="clear" w:color="auto" w:fill="B5C0D8"/>
          </w:tcPr>
          <w:p w:rsidR="00976CAE" w:rsidRDefault="00112B83">
            <w:pPr>
              <w:pStyle w:val="CellHeader"/>
              <w:jc w:val="center"/>
            </w:pPr>
            <w:r>
              <w:rPr>
                <w:rFonts w:cs="Times New Roman"/>
              </w:rPr>
              <w:t>Naziv aktivnosti</w:t>
            </w:r>
          </w:p>
        </w:tc>
        <w:tc>
          <w:tcPr>
            <w:tcW w:w="1632" w:type="dxa"/>
            <w:shd w:val="clear" w:color="auto" w:fill="B5C0D8"/>
          </w:tcPr>
          <w:p w:rsidR="00976CAE" w:rsidRDefault="00112B83">
            <w:pPr>
              <w:pStyle w:val="CellHeader"/>
              <w:jc w:val="center"/>
            </w:pPr>
            <w:r>
              <w:rPr>
                <w:rFonts w:cs="Times New Roman"/>
              </w:rPr>
              <w:t>Izvršenje 2022.</w:t>
            </w:r>
          </w:p>
        </w:tc>
        <w:tc>
          <w:tcPr>
            <w:tcW w:w="1632" w:type="dxa"/>
            <w:shd w:val="clear" w:color="auto" w:fill="B5C0D8"/>
          </w:tcPr>
          <w:p w:rsidR="00976CAE" w:rsidRDefault="00112B83">
            <w:pPr>
              <w:pStyle w:val="CellHeader"/>
              <w:jc w:val="center"/>
            </w:pPr>
            <w:r>
              <w:rPr>
                <w:rFonts w:cs="Times New Roman"/>
              </w:rPr>
              <w:t>Plan 2023.</w:t>
            </w:r>
          </w:p>
        </w:tc>
        <w:tc>
          <w:tcPr>
            <w:tcW w:w="1632" w:type="dxa"/>
            <w:shd w:val="clear" w:color="auto" w:fill="B5C0D8"/>
          </w:tcPr>
          <w:p w:rsidR="00976CAE" w:rsidRDefault="00112B83">
            <w:pPr>
              <w:pStyle w:val="CellHeader"/>
              <w:jc w:val="center"/>
            </w:pPr>
            <w:r>
              <w:rPr>
                <w:rFonts w:cs="Times New Roman"/>
              </w:rPr>
              <w:t>Plan 2024.</w:t>
            </w:r>
          </w:p>
        </w:tc>
        <w:tc>
          <w:tcPr>
            <w:tcW w:w="1632" w:type="dxa"/>
            <w:shd w:val="clear" w:color="auto" w:fill="B5C0D8"/>
          </w:tcPr>
          <w:p w:rsidR="00976CAE" w:rsidRDefault="00112B83">
            <w:pPr>
              <w:pStyle w:val="CellHeader"/>
              <w:jc w:val="center"/>
            </w:pPr>
            <w:r>
              <w:rPr>
                <w:rFonts w:cs="Times New Roman"/>
              </w:rPr>
              <w:t>Plan 2025.</w:t>
            </w:r>
          </w:p>
        </w:tc>
        <w:tc>
          <w:tcPr>
            <w:tcW w:w="1632" w:type="dxa"/>
            <w:shd w:val="clear" w:color="auto" w:fill="B5C0D8"/>
          </w:tcPr>
          <w:p w:rsidR="00976CAE" w:rsidRDefault="00112B83">
            <w:pPr>
              <w:pStyle w:val="CellHeader"/>
              <w:jc w:val="center"/>
            </w:pPr>
            <w:r>
              <w:rPr>
                <w:rFonts w:cs="Times New Roman"/>
              </w:rPr>
              <w:t>Plan 2026.</w:t>
            </w:r>
          </w:p>
        </w:tc>
        <w:tc>
          <w:tcPr>
            <w:tcW w:w="510" w:type="dxa"/>
            <w:shd w:val="clear" w:color="auto" w:fill="B5C0D8"/>
          </w:tcPr>
          <w:p w:rsidR="00976CAE" w:rsidRDefault="00112B83">
            <w:pPr>
              <w:pStyle w:val="CellHeader"/>
              <w:jc w:val="center"/>
            </w:pPr>
            <w:r>
              <w:rPr>
                <w:rFonts w:cs="Times New Roman"/>
              </w:rPr>
              <w:t>Indeks 2024/2023</w:t>
            </w:r>
          </w:p>
        </w:tc>
      </w:tr>
      <w:tr w:rsidR="00976CAE">
        <w:trPr>
          <w:jc w:val="center"/>
        </w:trPr>
        <w:tc>
          <w:tcPr>
            <w:tcW w:w="1530" w:type="dxa"/>
            <w:vAlign w:val="top"/>
          </w:tcPr>
          <w:p w:rsidR="00976CAE" w:rsidRDefault="00112B83">
            <w:pPr>
              <w:pStyle w:val="CellColumn"/>
              <w:jc w:val="left"/>
            </w:pPr>
            <w:r>
              <w:rPr>
                <w:rFonts w:cs="Times New Roman"/>
              </w:rPr>
              <w:t>K650068</w:t>
            </w:r>
          </w:p>
        </w:tc>
        <w:tc>
          <w:tcPr>
            <w:tcW w:w="1632" w:type="dxa"/>
            <w:vAlign w:val="top"/>
          </w:tcPr>
          <w:p w:rsidR="00976CAE" w:rsidRDefault="00112B83">
            <w:pPr>
              <w:jc w:val="right"/>
            </w:pPr>
            <w:r>
              <w:t>386.586</w:t>
            </w:r>
          </w:p>
        </w:tc>
        <w:tc>
          <w:tcPr>
            <w:tcW w:w="1632" w:type="dxa"/>
            <w:vAlign w:val="top"/>
          </w:tcPr>
          <w:p w:rsidR="00976CAE" w:rsidRDefault="00112B83">
            <w:pPr>
              <w:jc w:val="right"/>
            </w:pPr>
            <w:r>
              <w:t>680.639</w:t>
            </w:r>
          </w:p>
        </w:tc>
        <w:tc>
          <w:tcPr>
            <w:tcW w:w="1632" w:type="dxa"/>
            <w:vAlign w:val="top"/>
          </w:tcPr>
          <w:p w:rsidR="00976CAE" w:rsidRDefault="00112B83">
            <w:pPr>
              <w:jc w:val="right"/>
            </w:pPr>
            <w:r>
              <w:t>955.700</w:t>
            </w:r>
          </w:p>
        </w:tc>
        <w:tc>
          <w:tcPr>
            <w:tcW w:w="1632" w:type="dxa"/>
            <w:vAlign w:val="top"/>
          </w:tcPr>
          <w:p w:rsidR="00976CAE" w:rsidRDefault="00112B83">
            <w:pPr>
              <w:jc w:val="right"/>
            </w:pPr>
            <w:r>
              <w:t>1.028.373</w:t>
            </w:r>
          </w:p>
        </w:tc>
        <w:tc>
          <w:tcPr>
            <w:tcW w:w="1632" w:type="dxa"/>
            <w:vAlign w:val="top"/>
          </w:tcPr>
          <w:p w:rsidR="00976CAE" w:rsidRDefault="00112B83">
            <w:pPr>
              <w:jc w:val="right"/>
            </w:pPr>
            <w:r>
              <w:t>1.063.058</w:t>
            </w:r>
          </w:p>
        </w:tc>
        <w:tc>
          <w:tcPr>
            <w:tcW w:w="510" w:type="dxa"/>
            <w:vAlign w:val="top"/>
          </w:tcPr>
          <w:p w:rsidR="00976CAE" w:rsidRDefault="00112B83">
            <w:pPr>
              <w:jc w:val="right"/>
            </w:pPr>
            <w:r>
              <w:t>140,4</w:t>
            </w:r>
          </w:p>
        </w:tc>
      </w:tr>
    </w:tbl>
    <w:p w:rsidR="00976CAE" w:rsidRDefault="00976CAE">
      <w:pPr>
        <w:jc w:val="left"/>
      </w:pPr>
    </w:p>
    <w:p w:rsidR="00976CAE" w:rsidRDefault="00112B83">
      <w:r>
        <w:t>Agencija za plaćanja u poljoprivredi, ribarstvu i ruralnom razvoju je javno tijelo nadležno za operativnu provedbu intervencija izravne potpore, mjera/intervencija ruralnog razvoja, mjera za pomorstvo i ribarstvo (u dijelu delegiranih funkcija), sektorskih</w:t>
      </w:r>
      <w:r>
        <w:t xml:space="preserve"> intervencija, nacionalnih programa potpore i ostalih tržišnih potpora, za vođenje upisnika i registara te održavanje i korištenje Integriranog administrativnog i kontrolnog sustava (IAKS-a) preko kojeg se zaprimaju, obrađuju i kontroliraju izravna plaćanj</w:t>
      </w:r>
      <w:r>
        <w:t xml:space="preserve">a poljoprivrednicima. </w:t>
      </w:r>
    </w:p>
    <w:p w:rsidR="00976CAE" w:rsidRDefault="00112B83">
      <w:r>
        <w:t>APPRRR plaćanja je odgovorna za implementaciju i održavanje Integriranog Administrativnog i Kontrolnog Sustava (IAKS) koji se koristi za odobravanje svih plaćanja u sklopu intervencija proizvodno nevezanih izravnih plaćanja, proizvodno vezanih izravnih pla</w:t>
      </w:r>
      <w:r>
        <w:t>ćanja i intervencija iz Mjera ruralnog razvoja propisanima u Pravilniku o provedbi izravne potpore poljoprivredi i IAKS mjera ruralnog razvoja za 2023. godinu, u nacrtu Pravilnika za 2024. godinu i Strateškom planu Zajedničke poljoprivredne politike Republ</w:t>
      </w:r>
      <w:r>
        <w:t xml:space="preserve">ike Hrvatske 2023. – 2027., kao i za mjera državne potpore za iznimno osjetljive sektore iz Programa državne potpore za iznimno osjetljive sektore u poljoprivredi. Sustav broji oko 68 različitih potpora, a odobrava se ukupno 550 milijuna eura za preko 110 </w:t>
      </w:r>
      <w:r>
        <w:t xml:space="preserve">tisuća poljoprivrednih gospodarstava. </w:t>
      </w:r>
    </w:p>
    <w:p w:rsidR="00976CAE" w:rsidRDefault="00112B83">
      <w:r>
        <w:t>Sukladno zakonskoj regulativi potrebno je kontinuirano obavještavati poljoprivrednika o kriterijima prihvatljivosti za propisane potpore. Glavni alat za interakciju Agencije i poljoprivrednika je AGRONET aplikacija ko</w:t>
      </w:r>
      <w:r>
        <w:t>ja omogućava poljoprivrednicima pregled informacija o njihovom gospodarstvu, podnošenje zahtjeva, pregled obavijesti i odluka, te komunikaciju prema Agenciji. Primarni cilj nadogradnje AGRONETA je razvoj funkcionalnosti za potrebe kampanje 2024. temeljem i</w:t>
      </w:r>
      <w:r>
        <w:t>zmjena i dopuna pravne osnove te nadogradnja sustava za slanje obavijesti korisniku o rezultatima provedenog kontinuiranog nadzora poljoprivrednih površina, zajedno s podacima detektiranih nepravilnosti, te mogućnosti korekcije od strane korisnika u period</w:t>
      </w:r>
      <w:r>
        <w:t xml:space="preserve">u za podnošenje zahtjeva (sustav ranih upozorenja). </w:t>
      </w:r>
    </w:p>
    <w:p w:rsidR="00976CAE" w:rsidRDefault="00112B83">
      <w:r>
        <w:t>Pravilnicima koji reguliraju upis u Upisnik poljoprivrednika, Upisnik OPG-a, Vinogradarski registar, Upisnik ekoloških subjekata i ostale upisnike propisana je obveza korisnika da u određenom roku prijav</w:t>
      </w:r>
      <w:r>
        <w:t>i sve promjene, a cilj Agencije za plaćanja u poljoprivredi, ribarstvu i ruralnom razvoju je pravovremeno i točno obraditi sve zahtjeve za upis u upisnike i registre te prijave promjena u istima kako bi registri odnosno upisnici sadržavali točne i ažurne p</w:t>
      </w:r>
      <w:r>
        <w:t xml:space="preserve">odatke.  </w:t>
      </w:r>
    </w:p>
    <w:p w:rsidR="00976CAE" w:rsidRDefault="00112B83">
      <w:r>
        <w:t>Kao i svake godine na ovoj aktivnosti najveći trošak je planiran za usluge aerofotogrametrijskog snimanja i izrade digitalnih karata ortofotokarata koje APPRRR već godinama provodi u suradnji sa državna geodetskom upravom. Za ovu uslugu planirano</w:t>
      </w:r>
      <w:r>
        <w:t xml:space="preserve"> je svake godine po 740.000 EUR-a,</w:t>
      </w:r>
    </w:p>
    <w:p w:rsidR="00976CAE" w:rsidRDefault="00112B83">
      <w:pPr>
        <w:pStyle w:val="Heading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976CAE">
        <w:trPr>
          <w:jc w:val="center"/>
        </w:trPr>
        <w:tc>
          <w:tcPr>
            <w:tcW w:w="2245" w:type="dxa"/>
            <w:shd w:val="clear" w:color="auto" w:fill="B5C0D8"/>
          </w:tcPr>
          <w:p w:rsidR="00976CAE" w:rsidRDefault="00112B83">
            <w:pPr>
              <w:jc w:val="center"/>
            </w:pPr>
            <w:r>
              <w:t>Pokazatelj rezultata</w:t>
            </w:r>
          </w:p>
        </w:tc>
        <w:tc>
          <w:tcPr>
            <w:tcW w:w="2245" w:type="dxa"/>
            <w:shd w:val="clear" w:color="auto" w:fill="B5C0D8"/>
          </w:tcPr>
          <w:p w:rsidR="00976CAE" w:rsidRDefault="00112B83">
            <w:pPr>
              <w:pStyle w:val="CellHeader"/>
              <w:jc w:val="center"/>
            </w:pPr>
            <w:r>
              <w:rPr>
                <w:rFonts w:cs="Times New Roman"/>
              </w:rPr>
              <w:t>Definicija</w:t>
            </w:r>
          </w:p>
        </w:tc>
        <w:tc>
          <w:tcPr>
            <w:tcW w:w="918" w:type="dxa"/>
            <w:shd w:val="clear" w:color="auto" w:fill="B5C0D8"/>
          </w:tcPr>
          <w:p w:rsidR="00976CAE" w:rsidRDefault="00112B83">
            <w:pPr>
              <w:pStyle w:val="CellHeader"/>
              <w:jc w:val="center"/>
            </w:pPr>
            <w:r>
              <w:rPr>
                <w:rFonts w:cs="Times New Roman"/>
              </w:rPr>
              <w:t>Jedinica</w:t>
            </w:r>
          </w:p>
        </w:tc>
        <w:tc>
          <w:tcPr>
            <w:tcW w:w="918" w:type="dxa"/>
            <w:shd w:val="clear" w:color="auto" w:fill="B5C0D8"/>
          </w:tcPr>
          <w:p w:rsidR="00976CAE" w:rsidRDefault="00112B83">
            <w:pPr>
              <w:pStyle w:val="CellHeader"/>
              <w:jc w:val="center"/>
            </w:pPr>
            <w:r>
              <w:rPr>
                <w:rFonts w:cs="Times New Roman"/>
              </w:rPr>
              <w:t>Polazna vrijednost</w:t>
            </w:r>
          </w:p>
        </w:tc>
        <w:tc>
          <w:tcPr>
            <w:tcW w:w="918" w:type="dxa"/>
            <w:shd w:val="clear" w:color="auto" w:fill="B5C0D8"/>
          </w:tcPr>
          <w:p w:rsidR="00976CAE" w:rsidRDefault="00112B83">
            <w:pPr>
              <w:pStyle w:val="CellHeader"/>
              <w:jc w:val="center"/>
            </w:pPr>
            <w:r>
              <w:rPr>
                <w:rFonts w:cs="Times New Roman"/>
              </w:rPr>
              <w:t>Izvor podataka</w:t>
            </w:r>
          </w:p>
        </w:tc>
        <w:tc>
          <w:tcPr>
            <w:tcW w:w="918" w:type="dxa"/>
            <w:shd w:val="clear" w:color="auto" w:fill="B5C0D8"/>
          </w:tcPr>
          <w:p w:rsidR="00976CAE" w:rsidRDefault="00112B83">
            <w:pPr>
              <w:pStyle w:val="CellHeader"/>
              <w:jc w:val="center"/>
            </w:pPr>
            <w:r>
              <w:rPr>
                <w:rFonts w:cs="Times New Roman"/>
              </w:rPr>
              <w:t>Ciljana vrijednost (2024.)</w:t>
            </w:r>
          </w:p>
        </w:tc>
        <w:tc>
          <w:tcPr>
            <w:tcW w:w="918" w:type="dxa"/>
            <w:shd w:val="clear" w:color="auto" w:fill="B5C0D8"/>
          </w:tcPr>
          <w:p w:rsidR="00976CAE" w:rsidRDefault="00112B83">
            <w:pPr>
              <w:pStyle w:val="CellHeader"/>
              <w:jc w:val="center"/>
            </w:pPr>
            <w:r>
              <w:rPr>
                <w:rFonts w:cs="Times New Roman"/>
              </w:rPr>
              <w:t>Ciljana vrijednost (2025.)</w:t>
            </w:r>
          </w:p>
        </w:tc>
        <w:tc>
          <w:tcPr>
            <w:tcW w:w="918" w:type="dxa"/>
            <w:shd w:val="clear" w:color="auto" w:fill="B5C0D8"/>
          </w:tcPr>
          <w:p w:rsidR="00976CAE" w:rsidRDefault="00112B83">
            <w:pPr>
              <w:pStyle w:val="CellHeader"/>
              <w:jc w:val="center"/>
            </w:pPr>
            <w:r>
              <w:rPr>
                <w:rFonts w:cs="Times New Roman"/>
              </w:rPr>
              <w:t>Ciljana vrijednost (2026.)</w:t>
            </w:r>
          </w:p>
        </w:tc>
      </w:tr>
      <w:tr w:rsidR="00976CAE">
        <w:trPr>
          <w:jc w:val="center"/>
        </w:trPr>
        <w:tc>
          <w:tcPr>
            <w:tcW w:w="2245" w:type="dxa"/>
            <w:vAlign w:val="top"/>
          </w:tcPr>
          <w:p w:rsidR="00976CAE" w:rsidRDefault="00112B83">
            <w:pPr>
              <w:pStyle w:val="CellColumn"/>
              <w:jc w:val="left"/>
            </w:pPr>
            <w:r>
              <w:rPr>
                <w:rFonts w:cs="Times New Roman"/>
              </w:rPr>
              <w:t>Ažuriranje temeljem DOF-a</w:t>
            </w:r>
          </w:p>
        </w:tc>
        <w:tc>
          <w:tcPr>
            <w:tcW w:w="2245" w:type="dxa"/>
            <w:vAlign w:val="top"/>
          </w:tcPr>
          <w:p w:rsidR="00976CAE" w:rsidRDefault="00112B83">
            <w:pPr>
              <w:pStyle w:val="CellColumn"/>
              <w:jc w:val="left"/>
            </w:pPr>
            <w:r>
              <w:rPr>
                <w:rFonts w:cs="Times New Roman"/>
              </w:rPr>
              <w:t>Postotak teritorija RH pokriven ažurnim DOF podacima</w:t>
            </w:r>
          </w:p>
        </w:tc>
        <w:tc>
          <w:tcPr>
            <w:tcW w:w="918" w:type="dxa"/>
          </w:tcPr>
          <w:p w:rsidR="00976CAE" w:rsidRDefault="00112B83">
            <w:pPr>
              <w:jc w:val="center"/>
            </w:pPr>
            <w:r>
              <w:t>%</w:t>
            </w:r>
          </w:p>
        </w:tc>
        <w:tc>
          <w:tcPr>
            <w:tcW w:w="918" w:type="dxa"/>
          </w:tcPr>
          <w:p w:rsidR="00976CAE" w:rsidRDefault="00112B83">
            <w:pPr>
              <w:jc w:val="center"/>
            </w:pPr>
            <w:r>
              <w:t>50</w:t>
            </w:r>
          </w:p>
        </w:tc>
        <w:tc>
          <w:tcPr>
            <w:tcW w:w="918" w:type="dxa"/>
          </w:tcPr>
          <w:p w:rsidR="00976CAE" w:rsidRDefault="00112B83">
            <w:pPr>
              <w:pStyle w:val="CellColumn"/>
              <w:jc w:val="center"/>
            </w:pPr>
            <w:r>
              <w:rPr>
                <w:rFonts w:cs="Times New Roman"/>
              </w:rPr>
              <w:t>APPRRR</w:t>
            </w:r>
          </w:p>
        </w:tc>
        <w:tc>
          <w:tcPr>
            <w:tcW w:w="918" w:type="dxa"/>
          </w:tcPr>
          <w:p w:rsidR="00976CAE" w:rsidRDefault="00112B83">
            <w:pPr>
              <w:jc w:val="center"/>
            </w:pPr>
            <w:r>
              <w:t>50</w:t>
            </w:r>
          </w:p>
        </w:tc>
        <w:tc>
          <w:tcPr>
            <w:tcW w:w="918" w:type="dxa"/>
          </w:tcPr>
          <w:p w:rsidR="00976CAE" w:rsidRDefault="00112B83">
            <w:pPr>
              <w:jc w:val="center"/>
            </w:pPr>
            <w:r>
              <w:t>50</w:t>
            </w:r>
          </w:p>
        </w:tc>
        <w:tc>
          <w:tcPr>
            <w:tcW w:w="918" w:type="dxa"/>
          </w:tcPr>
          <w:p w:rsidR="00976CAE" w:rsidRDefault="00112B83">
            <w:pPr>
              <w:jc w:val="center"/>
            </w:pPr>
            <w:r>
              <w:t>50</w:t>
            </w:r>
          </w:p>
        </w:tc>
      </w:tr>
      <w:tr w:rsidR="00976CAE">
        <w:trPr>
          <w:jc w:val="center"/>
        </w:trPr>
        <w:tc>
          <w:tcPr>
            <w:tcW w:w="2245" w:type="dxa"/>
            <w:vAlign w:val="top"/>
          </w:tcPr>
          <w:p w:rsidR="00976CAE" w:rsidRDefault="00112B83">
            <w:pPr>
              <w:pStyle w:val="CellColumn"/>
              <w:jc w:val="left"/>
            </w:pPr>
            <w:r>
              <w:rPr>
                <w:rFonts w:cs="Times New Roman"/>
              </w:rPr>
              <w:t>Ažuriranje temeljem raezltata kontrole na terenu i inspekcijskih rješenje</w:t>
            </w:r>
          </w:p>
        </w:tc>
        <w:tc>
          <w:tcPr>
            <w:tcW w:w="2245" w:type="dxa"/>
            <w:vAlign w:val="top"/>
          </w:tcPr>
          <w:p w:rsidR="00976CAE" w:rsidRDefault="00112B83">
            <w:pPr>
              <w:pStyle w:val="CellColumn"/>
              <w:jc w:val="left"/>
            </w:pPr>
            <w:r>
              <w:rPr>
                <w:rFonts w:cs="Times New Roman"/>
              </w:rPr>
              <w:t>Evidentiranje postotak od ukupnog broja PG-a koji su bili predmet kontrola</w:t>
            </w:r>
          </w:p>
        </w:tc>
        <w:tc>
          <w:tcPr>
            <w:tcW w:w="918" w:type="dxa"/>
          </w:tcPr>
          <w:p w:rsidR="00976CAE" w:rsidRDefault="00112B83">
            <w:pPr>
              <w:jc w:val="center"/>
            </w:pPr>
            <w:r>
              <w:t>%</w:t>
            </w:r>
          </w:p>
        </w:tc>
        <w:tc>
          <w:tcPr>
            <w:tcW w:w="918" w:type="dxa"/>
          </w:tcPr>
          <w:p w:rsidR="00976CAE" w:rsidRDefault="00112B83">
            <w:pPr>
              <w:jc w:val="center"/>
            </w:pPr>
            <w:r>
              <w:t>100</w:t>
            </w:r>
          </w:p>
        </w:tc>
        <w:tc>
          <w:tcPr>
            <w:tcW w:w="918" w:type="dxa"/>
          </w:tcPr>
          <w:p w:rsidR="00976CAE" w:rsidRDefault="00112B83">
            <w:pPr>
              <w:pStyle w:val="CellColumn"/>
              <w:jc w:val="center"/>
            </w:pPr>
            <w:r>
              <w:rPr>
                <w:rFonts w:cs="Times New Roman"/>
              </w:rPr>
              <w:t>APPRRR</w:t>
            </w:r>
          </w:p>
        </w:tc>
        <w:tc>
          <w:tcPr>
            <w:tcW w:w="918" w:type="dxa"/>
          </w:tcPr>
          <w:p w:rsidR="00976CAE" w:rsidRDefault="00112B83">
            <w:pPr>
              <w:jc w:val="center"/>
            </w:pPr>
            <w:r>
              <w:t>100</w:t>
            </w:r>
          </w:p>
        </w:tc>
        <w:tc>
          <w:tcPr>
            <w:tcW w:w="918" w:type="dxa"/>
          </w:tcPr>
          <w:p w:rsidR="00976CAE" w:rsidRDefault="00112B83">
            <w:pPr>
              <w:jc w:val="center"/>
            </w:pPr>
            <w:r>
              <w:t>100</w:t>
            </w:r>
          </w:p>
        </w:tc>
        <w:tc>
          <w:tcPr>
            <w:tcW w:w="918" w:type="dxa"/>
          </w:tcPr>
          <w:p w:rsidR="00976CAE" w:rsidRDefault="00112B83">
            <w:pPr>
              <w:jc w:val="center"/>
            </w:pPr>
            <w:r>
              <w:t>100</w:t>
            </w:r>
          </w:p>
        </w:tc>
      </w:tr>
      <w:tr w:rsidR="00976CAE">
        <w:trPr>
          <w:jc w:val="center"/>
        </w:trPr>
        <w:tc>
          <w:tcPr>
            <w:tcW w:w="2245" w:type="dxa"/>
            <w:vAlign w:val="top"/>
          </w:tcPr>
          <w:p w:rsidR="00976CAE" w:rsidRDefault="00112B83">
            <w:pPr>
              <w:pStyle w:val="CellColumn"/>
              <w:jc w:val="left"/>
            </w:pPr>
            <w:r>
              <w:rPr>
                <w:rFonts w:cs="Times New Roman"/>
              </w:rPr>
              <w:lastRenderedPageBreak/>
              <w:t>Pravov</w:t>
            </w:r>
            <w:r>
              <w:rPr>
                <w:rFonts w:cs="Times New Roman"/>
              </w:rPr>
              <w:t>remena obrada zahtjeva korisnika</w:t>
            </w:r>
          </w:p>
        </w:tc>
        <w:tc>
          <w:tcPr>
            <w:tcW w:w="2245" w:type="dxa"/>
            <w:vAlign w:val="top"/>
          </w:tcPr>
          <w:p w:rsidR="00976CAE" w:rsidRDefault="00112B83">
            <w:pPr>
              <w:pStyle w:val="CellColumn"/>
              <w:jc w:val="left"/>
            </w:pPr>
            <w:r>
              <w:rPr>
                <w:rFonts w:cs="Times New Roman"/>
              </w:rPr>
              <w:t>Korisnici podnose Zahtjeve u podružnicama Agencije i putem Agroneta u određenom vremenskom periodu. Pravovremenom obradom osigurava se isplata poticaja i potpora u rokovima</w:t>
            </w:r>
          </w:p>
        </w:tc>
        <w:tc>
          <w:tcPr>
            <w:tcW w:w="918" w:type="dxa"/>
          </w:tcPr>
          <w:p w:rsidR="00976CAE" w:rsidRDefault="00112B83">
            <w:pPr>
              <w:jc w:val="center"/>
            </w:pPr>
            <w:r>
              <w:t>broj</w:t>
            </w:r>
          </w:p>
        </w:tc>
        <w:tc>
          <w:tcPr>
            <w:tcW w:w="918" w:type="dxa"/>
          </w:tcPr>
          <w:p w:rsidR="00976CAE" w:rsidRDefault="00112B83">
            <w:pPr>
              <w:jc w:val="center"/>
            </w:pPr>
            <w:r>
              <w:t>70.000</w:t>
            </w:r>
          </w:p>
        </w:tc>
        <w:tc>
          <w:tcPr>
            <w:tcW w:w="918" w:type="dxa"/>
          </w:tcPr>
          <w:p w:rsidR="00976CAE" w:rsidRDefault="00112B83">
            <w:pPr>
              <w:pStyle w:val="CellColumn"/>
              <w:jc w:val="center"/>
            </w:pPr>
            <w:r>
              <w:rPr>
                <w:rFonts w:cs="Times New Roman"/>
              </w:rPr>
              <w:t>APPRRR</w:t>
            </w:r>
          </w:p>
        </w:tc>
        <w:tc>
          <w:tcPr>
            <w:tcW w:w="918" w:type="dxa"/>
          </w:tcPr>
          <w:p w:rsidR="00976CAE" w:rsidRDefault="00112B83">
            <w:pPr>
              <w:jc w:val="center"/>
            </w:pPr>
            <w:r>
              <w:t>80.000</w:t>
            </w:r>
          </w:p>
        </w:tc>
        <w:tc>
          <w:tcPr>
            <w:tcW w:w="918" w:type="dxa"/>
          </w:tcPr>
          <w:p w:rsidR="00976CAE" w:rsidRDefault="00112B83">
            <w:pPr>
              <w:jc w:val="center"/>
            </w:pPr>
            <w:r>
              <w:t>90.000</w:t>
            </w:r>
          </w:p>
        </w:tc>
        <w:tc>
          <w:tcPr>
            <w:tcW w:w="918" w:type="dxa"/>
          </w:tcPr>
          <w:p w:rsidR="00976CAE" w:rsidRDefault="00112B83">
            <w:pPr>
              <w:jc w:val="center"/>
            </w:pPr>
            <w:r>
              <w:t>95.000</w:t>
            </w:r>
          </w:p>
        </w:tc>
      </w:tr>
    </w:tbl>
    <w:p w:rsidR="00976CAE" w:rsidRDefault="00976CAE">
      <w:pPr>
        <w:jc w:val="left"/>
      </w:pPr>
    </w:p>
    <w:p w:rsidR="00976CAE" w:rsidRDefault="00112B83">
      <w:pPr>
        <w:pStyle w:val="Heading4"/>
      </w:pPr>
      <w:r>
        <w:t>K841002 INFORMATIZACIJA</w:t>
      </w:r>
    </w:p>
    <w:p w:rsidR="00976CAE" w:rsidRDefault="00112B83">
      <w:pPr>
        <w:pStyle w:val="Heading8"/>
        <w:jc w:val="left"/>
      </w:pPr>
      <w:r>
        <w:t>Zakonske i druge pravne osnove</w:t>
      </w:r>
    </w:p>
    <w:p w:rsidR="00976CAE" w:rsidRDefault="00112B83">
      <w:r>
        <w:t xml:space="preserve">- Strateški plan Zajedničke poljoprivredne politike RH 2023. - 2027. </w:t>
      </w:r>
    </w:p>
    <w:p w:rsidR="00976CAE" w:rsidRDefault="00112B83">
      <w:r>
        <w:t xml:space="preserve">- Pravilnik o provedbi izravne potpore poljoprivredi i IAKS mjera ruralnog razvoja  </w:t>
      </w:r>
    </w:p>
    <w:p w:rsidR="00976CAE" w:rsidRDefault="00112B83">
      <w:r>
        <w:t xml:space="preserve">Uredba o uredskom poslovanju </w:t>
      </w:r>
    </w:p>
    <w:p w:rsidR="00976CAE" w:rsidRDefault="00112B83">
      <w:r>
        <w:t xml:space="preserve">- Uredba (EU) br. 2021/2115 Europskog parlamenta i Vijeća od 2. prosinca 2021. o utvrđivanju pravila o potpori za  </w:t>
      </w:r>
    </w:p>
    <w:p w:rsidR="00976CAE" w:rsidRDefault="00112B83">
      <w:r>
        <w:t xml:space="preserve">  strateške planove koje izrađuju države članice u okviru zajedničke poljoprivredne politike (strateški planovi u okviru  </w:t>
      </w:r>
    </w:p>
    <w:p w:rsidR="00976CAE" w:rsidRDefault="00112B83">
      <w:r>
        <w:t xml:space="preserve">  ZPP-a) i koji s</w:t>
      </w:r>
      <w:r>
        <w:t xml:space="preserve">e financiraju iz Europskog fonda za jamstva u poljoprivredi (EFJP) i Europskog poljoprivrednog fonda za  </w:t>
      </w:r>
    </w:p>
    <w:p w:rsidR="00976CAE" w:rsidRDefault="00112B83">
      <w:r>
        <w:t xml:space="preserve">  ruralni razvoj (EPFRR) te o stavljanju izvan snage uredbi (EU) br. 1305/2013 i (EU) br. 1307/2013 </w:t>
      </w:r>
    </w:p>
    <w:p w:rsidR="00976CAE" w:rsidRDefault="00112B83">
      <w:r>
        <w:t>- Provedbena uredba Komisije (EU) 2022/1475 оd 6.</w:t>
      </w:r>
      <w:r>
        <w:t xml:space="preserve"> rujna 2022. o utvrđivanju detaljnih pravila za provedbu Uredbe  </w:t>
      </w:r>
    </w:p>
    <w:p w:rsidR="00976CAE" w:rsidRDefault="00112B83">
      <w:r>
        <w:t xml:space="preserve">  (EU) 2021/2115 Europskog parlamenta i Vijeća u pogledu evaluacije strateških planova u okviru ZPP-a i pružanja  </w:t>
      </w:r>
    </w:p>
    <w:p w:rsidR="00976CAE" w:rsidRDefault="00112B83">
      <w:r>
        <w:t xml:space="preserve">  informacija za praćenje i evaluaciju </w:t>
      </w:r>
    </w:p>
    <w:p w:rsidR="00976CAE" w:rsidRDefault="00112B83">
      <w:r>
        <w:t xml:space="preserve">- Uredba (EU) br. 2021/2116 Europskog parlamenta i Vijeća od 2. prosinca 2021. o financiranju i nadzoru zajedničke  </w:t>
      </w:r>
    </w:p>
    <w:p w:rsidR="00976CAE" w:rsidRDefault="00112B83">
      <w:r>
        <w:t xml:space="preserve">  poljoprivredne politike te upravljanju njome i o stavljanju izvan snage Uredbe (EU) br. 1306/2013 </w:t>
      </w:r>
    </w:p>
    <w:p w:rsidR="00976CAE" w:rsidRDefault="00112B83">
      <w:r>
        <w:t>- Delegirana uredba Komisije (EU) 2022</w:t>
      </w:r>
      <w:r>
        <w:t xml:space="preserve">/127 оd 7. prosinca 2021. o dopuni Uredbe (EU) 2021/2116 Europskog  </w:t>
      </w:r>
    </w:p>
    <w:p w:rsidR="00976CAE" w:rsidRDefault="00112B83">
      <w:r>
        <w:t xml:space="preserve">  parlamenta i Vijeća pravilima o agencijama za plaćanja i drugim tijelima, financijskom upravljanju, poravnanju računa,  </w:t>
      </w:r>
    </w:p>
    <w:p w:rsidR="00976CAE" w:rsidRDefault="00112B83">
      <w:r>
        <w:t xml:space="preserve">  sredstvima osiguranja i upotrebi eura </w:t>
      </w:r>
    </w:p>
    <w:p w:rsidR="00976CAE" w:rsidRDefault="00112B83">
      <w:r>
        <w:t>- Provedbena uredba Kom</w:t>
      </w:r>
      <w:r>
        <w:t xml:space="preserve">isije (EU) 2022/128 оd 21. prosinca 2021. o utvrđivanju pravila za primjenu Uredbe (EU)  </w:t>
      </w:r>
    </w:p>
    <w:p w:rsidR="00976CAE" w:rsidRDefault="00112B83">
      <w:r>
        <w:t xml:space="preserve">  2021/2116 Europskog parlamenta i Vijeća u pogledu agencija za plaćanja i drugih tijela, financijskog upravljanja,  </w:t>
      </w:r>
    </w:p>
    <w:p w:rsidR="00976CAE" w:rsidRDefault="00112B83">
      <w:r>
        <w:t xml:space="preserve">  poravnanja računa, provjera, sredstava osigura</w:t>
      </w:r>
      <w:r>
        <w:t>nja i transparentnosti</w:t>
      </w:r>
    </w:p>
    <w:tbl>
      <w:tblPr>
        <w:tblStyle w:val="StilTablice"/>
        <w:tblW w:w="10206" w:type="dxa"/>
        <w:jc w:val="center"/>
        <w:tblLook w:val="04A0" w:firstRow="1" w:lastRow="0" w:firstColumn="1" w:lastColumn="0" w:noHBand="0" w:noVBand="1"/>
      </w:tblPr>
      <w:tblGrid>
        <w:gridCol w:w="1461"/>
        <w:gridCol w:w="1555"/>
        <w:gridCol w:w="1555"/>
        <w:gridCol w:w="1555"/>
        <w:gridCol w:w="1555"/>
        <w:gridCol w:w="1555"/>
        <w:gridCol w:w="970"/>
      </w:tblGrid>
      <w:tr w:rsidR="00976CAE">
        <w:trPr>
          <w:jc w:val="center"/>
        </w:trPr>
        <w:tc>
          <w:tcPr>
            <w:tcW w:w="1530" w:type="dxa"/>
            <w:shd w:val="clear" w:color="auto" w:fill="B5C0D8"/>
          </w:tcPr>
          <w:p w:rsidR="00976CAE" w:rsidRDefault="00112B83">
            <w:pPr>
              <w:pStyle w:val="CellHeader"/>
              <w:jc w:val="center"/>
            </w:pPr>
            <w:r>
              <w:rPr>
                <w:rFonts w:cs="Times New Roman"/>
              </w:rPr>
              <w:t>Naziv aktivnosti</w:t>
            </w:r>
          </w:p>
        </w:tc>
        <w:tc>
          <w:tcPr>
            <w:tcW w:w="1632" w:type="dxa"/>
            <w:shd w:val="clear" w:color="auto" w:fill="B5C0D8"/>
          </w:tcPr>
          <w:p w:rsidR="00976CAE" w:rsidRDefault="00112B83">
            <w:pPr>
              <w:pStyle w:val="CellHeader"/>
              <w:jc w:val="center"/>
            </w:pPr>
            <w:r>
              <w:rPr>
                <w:rFonts w:cs="Times New Roman"/>
              </w:rPr>
              <w:t>Izvršenje 2022.</w:t>
            </w:r>
          </w:p>
        </w:tc>
        <w:tc>
          <w:tcPr>
            <w:tcW w:w="1632" w:type="dxa"/>
            <w:shd w:val="clear" w:color="auto" w:fill="B5C0D8"/>
          </w:tcPr>
          <w:p w:rsidR="00976CAE" w:rsidRDefault="00112B83">
            <w:pPr>
              <w:pStyle w:val="CellHeader"/>
              <w:jc w:val="center"/>
            </w:pPr>
            <w:r>
              <w:rPr>
                <w:rFonts w:cs="Times New Roman"/>
              </w:rPr>
              <w:t>Plan 2023.</w:t>
            </w:r>
          </w:p>
        </w:tc>
        <w:tc>
          <w:tcPr>
            <w:tcW w:w="1632" w:type="dxa"/>
            <w:shd w:val="clear" w:color="auto" w:fill="B5C0D8"/>
          </w:tcPr>
          <w:p w:rsidR="00976CAE" w:rsidRDefault="00112B83">
            <w:pPr>
              <w:pStyle w:val="CellHeader"/>
              <w:jc w:val="center"/>
            </w:pPr>
            <w:r>
              <w:rPr>
                <w:rFonts w:cs="Times New Roman"/>
              </w:rPr>
              <w:t>Plan 2024.</w:t>
            </w:r>
          </w:p>
        </w:tc>
        <w:tc>
          <w:tcPr>
            <w:tcW w:w="1632" w:type="dxa"/>
            <w:shd w:val="clear" w:color="auto" w:fill="B5C0D8"/>
          </w:tcPr>
          <w:p w:rsidR="00976CAE" w:rsidRDefault="00112B83">
            <w:pPr>
              <w:pStyle w:val="CellHeader"/>
              <w:jc w:val="center"/>
            </w:pPr>
            <w:r>
              <w:rPr>
                <w:rFonts w:cs="Times New Roman"/>
              </w:rPr>
              <w:t>Plan 2025.</w:t>
            </w:r>
          </w:p>
        </w:tc>
        <w:tc>
          <w:tcPr>
            <w:tcW w:w="1632" w:type="dxa"/>
            <w:shd w:val="clear" w:color="auto" w:fill="B5C0D8"/>
          </w:tcPr>
          <w:p w:rsidR="00976CAE" w:rsidRDefault="00112B83">
            <w:pPr>
              <w:pStyle w:val="CellHeader"/>
              <w:jc w:val="center"/>
            </w:pPr>
            <w:r>
              <w:rPr>
                <w:rFonts w:cs="Times New Roman"/>
              </w:rPr>
              <w:t>Plan 2026.</w:t>
            </w:r>
          </w:p>
        </w:tc>
        <w:tc>
          <w:tcPr>
            <w:tcW w:w="510" w:type="dxa"/>
            <w:shd w:val="clear" w:color="auto" w:fill="B5C0D8"/>
          </w:tcPr>
          <w:p w:rsidR="00976CAE" w:rsidRDefault="00112B83">
            <w:pPr>
              <w:pStyle w:val="CellHeader"/>
              <w:jc w:val="center"/>
            </w:pPr>
            <w:r>
              <w:rPr>
                <w:rFonts w:cs="Times New Roman"/>
              </w:rPr>
              <w:t>Indeks 2024/2023</w:t>
            </w:r>
          </w:p>
        </w:tc>
      </w:tr>
      <w:tr w:rsidR="00976CAE">
        <w:trPr>
          <w:jc w:val="center"/>
        </w:trPr>
        <w:tc>
          <w:tcPr>
            <w:tcW w:w="1530" w:type="dxa"/>
            <w:vAlign w:val="top"/>
          </w:tcPr>
          <w:p w:rsidR="00976CAE" w:rsidRDefault="00112B83">
            <w:pPr>
              <w:pStyle w:val="CellColumn"/>
              <w:jc w:val="left"/>
            </w:pPr>
            <w:r>
              <w:rPr>
                <w:rFonts w:cs="Times New Roman"/>
              </w:rPr>
              <w:t>K841002</w:t>
            </w:r>
          </w:p>
        </w:tc>
        <w:tc>
          <w:tcPr>
            <w:tcW w:w="1632" w:type="dxa"/>
            <w:vAlign w:val="top"/>
          </w:tcPr>
          <w:p w:rsidR="00976CAE" w:rsidRDefault="00112B83">
            <w:pPr>
              <w:jc w:val="right"/>
            </w:pPr>
            <w:r>
              <w:t>5.111.960</w:t>
            </w:r>
          </w:p>
        </w:tc>
        <w:tc>
          <w:tcPr>
            <w:tcW w:w="1632" w:type="dxa"/>
            <w:vAlign w:val="top"/>
          </w:tcPr>
          <w:p w:rsidR="00976CAE" w:rsidRDefault="00112B83">
            <w:pPr>
              <w:jc w:val="right"/>
            </w:pPr>
            <w:r>
              <w:t>3.120.459</w:t>
            </w:r>
          </w:p>
        </w:tc>
        <w:tc>
          <w:tcPr>
            <w:tcW w:w="1632" w:type="dxa"/>
            <w:vAlign w:val="top"/>
          </w:tcPr>
          <w:p w:rsidR="00976CAE" w:rsidRDefault="00112B83">
            <w:pPr>
              <w:jc w:val="right"/>
            </w:pPr>
            <w:r>
              <w:t>5.069.681</w:t>
            </w:r>
          </w:p>
        </w:tc>
        <w:tc>
          <w:tcPr>
            <w:tcW w:w="1632" w:type="dxa"/>
            <w:vAlign w:val="top"/>
          </w:tcPr>
          <w:p w:rsidR="00976CAE" w:rsidRDefault="00112B83">
            <w:pPr>
              <w:jc w:val="right"/>
            </w:pPr>
            <w:r>
              <w:t>4.690.578</w:t>
            </w:r>
          </w:p>
        </w:tc>
        <w:tc>
          <w:tcPr>
            <w:tcW w:w="1632" w:type="dxa"/>
            <w:vAlign w:val="top"/>
          </w:tcPr>
          <w:p w:rsidR="00976CAE" w:rsidRDefault="00112B83">
            <w:pPr>
              <w:jc w:val="right"/>
            </w:pPr>
            <w:r>
              <w:t>4.236.919</w:t>
            </w:r>
          </w:p>
        </w:tc>
        <w:tc>
          <w:tcPr>
            <w:tcW w:w="510" w:type="dxa"/>
            <w:vAlign w:val="top"/>
          </w:tcPr>
          <w:p w:rsidR="00976CAE" w:rsidRDefault="00112B83">
            <w:pPr>
              <w:jc w:val="right"/>
            </w:pPr>
            <w:r>
              <w:t>162,5</w:t>
            </w:r>
          </w:p>
        </w:tc>
      </w:tr>
    </w:tbl>
    <w:p w:rsidR="00976CAE" w:rsidRDefault="00976CAE">
      <w:pPr>
        <w:jc w:val="left"/>
      </w:pPr>
    </w:p>
    <w:p w:rsidR="00976CAE" w:rsidRDefault="00112B83">
      <w:r>
        <w:t>Poslovni procesi Agencije za plaćanja u poljoprivredi, ribarstvu i ruralnom razvoju su informatizirani i digitalizirani. Informacijski sustav APPRRR-a (ISA) predstavlja integrirani multifunkcionalni sustav za podršku cjelokupnom radu APPRRR-a te je kao tak</w:t>
      </w:r>
      <w:r>
        <w:t xml:space="preserve">av, zajedno s odgovarajućom stručnom tehničkom podrškom nužan za nesmetano odvijanje svih poslovnih procesa. Nadogradnja i održavanje ISA sustava provodi se kroz godišnje odnosno višegodišnje projekte vođene po PMI metodologiji, pri čemu se posebna pažnja </w:t>
      </w:r>
      <w:r>
        <w:t xml:space="preserve">posvećuje razvoju softvera na način da se isti posebno nadzire i kontinuirano prilagođava stvarnim potrebama. </w:t>
      </w:r>
    </w:p>
    <w:p w:rsidR="00976CAE" w:rsidRDefault="00112B83">
      <w:r>
        <w:t>Informacijski sustav osigurava izvršavanje složenih aktivnosti u procesu odobravanja potpora:  podnošenje Jedinstvenog zahtjeva, preuzimanje poda</w:t>
      </w:r>
      <w:r>
        <w:t xml:space="preserve">taka s Jedinstvenog zahtjeva i obradu istih, preuzimanje rezultata kontrole na terenu, brze terenske kontrole i ažuriranja ARKOD sustava (nacionalni sustav identifikacije zemljišnih parcela), </w:t>
      </w:r>
      <w:r>
        <w:lastRenderedPageBreak/>
        <w:t>stvaranje sloja prostornih podataka (prostornog preklopa) s inte</w:t>
      </w:r>
      <w:r>
        <w:t xml:space="preserve">griranim podacima Jedinstvenog zahtjeva, kontrole na terenu trenutnih i retroaktivnih podataka, stanje ARKOD parcela na zadnji dan podnošenja zahtjeva u kampanji, uključivanje baza Jedinstvenog registra domaćih životinja, vođenje podataka u registru prava </w:t>
      </w:r>
      <w:r>
        <w:t xml:space="preserve">na plaćanja, višestruke provjere svih kriterija prihvatljivosti za dodjelu potpora, pojedinačne izračune svih potpora i izračune administrativnih kazni kao i izračune plaćanja i odobravanje slogova za isplate.  </w:t>
      </w:r>
    </w:p>
    <w:p w:rsidR="00976CAE" w:rsidRDefault="00112B83">
      <w:r>
        <w:t>U 2024. godini nastaviti će se nadogradnja I</w:t>
      </w:r>
      <w:r>
        <w:t>AKS sustava u vidu implementacije novih intervencija proizvodno nevezanih i vezanih izravnih plaćanja te IAKS mjera ruralnog razvoja. Isto tako potrebno je nadograditi sustav za IAKS mjere ruralnog razvoja iz Programa ruralnog razvoja Republike Hrvatske za</w:t>
      </w:r>
      <w:r>
        <w:t xml:space="preserve"> razdoblje 2014. – 2020. kojima višegodišnja obveza nije završena. Nadalje potrebno je osigurati nadogradnju registra prava na plaćanja sukladno novom ZPP te poslovne procese zajedničkih kriterija uvjetovanosti za sve potpore izravnih plaćanja i IAKS mjere</w:t>
      </w:r>
      <w:r>
        <w:t xml:space="preserve"> ruralnog razvoja.  </w:t>
      </w:r>
    </w:p>
    <w:p w:rsidR="00976CAE" w:rsidRDefault="00112B83">
      <w:r>
        <w:t>Sukladno zakonskoj regulativi potrebno je kontinuirano obavještavati poljoprivrednika o kriterijima prihvatljivosti za propisane potpore. Glavni alat za interakciju Agencije i poljoprivrednika je AGRONET aplikacija koja omogućava poljo</w:t>
      </w:r>
      <w:r>
        <w:t>privrednicima pregled informacija o njihovom gospodarstvu, podnošenje zahtjeva, pregled obavijesti i odluka, te komunikaciju prema Agenciji. Primarni cilj nadogradnje AGRONETA je razvoj funkcionalnosti za potrebe kampanje 2024. temeljem izmjena i dopuna pr</w:t>
      </w:r>
      <w:r>
        <w:t>avne osnove te nadogradnja sustava za slanje obavijesti korisniku o rezultatima provedenog kontinuiranog nadzora poljoprivrednih površina, zajedno s podacima detektiranih nepravilnosti, te mogućnosti korekcije od strane korisnika u periodu za podnošenje za</w:t>
      </w:r>
      <w:r>
        <w:t xml:space="preserve">htjeva (sustav ranih upozorenja). </w:t>
      </w:r>
    </w:p>
    <w:p w:rsidR="00976CAE" w:rsidRDefault="00112B83">
      <w:r>
        <w:t>Temeljem ugovora za 2024. godinu nastaviti će se implementacija vrlo zahtjevnog Monitoring sustava kako bi se omogućila preciznija detekcija promjena na poljoprivrednom zemljištu (ARKOD) kao i na poljoprivrednim parcelama</w:t>
      </w:r>
      <w:r>
        <w:t xml:space="preserve"> (Jedinstveni zahtjev), a sve u cilju boljeg nadzora poljoprivrednih površina za potrebe odobravanja potpora u sklopu izravnih plaćanja i IAKS mjera ruralnog razvoja. Ove nadogradnje uključuju razvoj sustava za detekciju promjena na zemljištu, nadogradnju </w:t>
      </w:r>
      <w:r>
        <w:t>markera i semafora s dodatnim kriterijima koristeći postojeće Sentinel 2 podatke, te konačno vizualizaciju svih prostornih podataka na GeoPortalu. Cilj nadogradnji sustava za monitoring je potpuno uvođenje nadzora svih poljoprivrednih površina za potrebe n</w:t>
      </w:r>
      <w:r>
        <w:t xml:space="preserve">ovog programskog razdoblja. U Sklopu procesa Monitoringa je razvijen sustav za evidentiranje, obradu i arhiviranje geotagiranih fotografija (GTF), zajedno s mobilnom aplikacijom AgroGTF za dostavu istih. U 2024. godini biti će potrebne daljnje nadogradnje </w:t>
      </w:r>
      <w:r>
        <w:t>sustava za evidentiranje, obradu i arhiviranje geotagiranih fotografija, zajedno s mobilnom aplikacijom u svrhu dokazivanja uvjeta prihvatljivosti i provedbe obveza.  Preko aplikacije Ekspertna procjena implementirana je mogućnost korištenja rezultata nadz</w:t>
      </w:r>
      <w:r>
        <w:t>ora poljoprivrednih površina za preventivne izmjene zahtjeva kroz AGRONET sustav. Dobiveni rezultati se trebaju implementirati u novi sustav odobravanja za sve višestruke provjere na području cijele Republike Hrvatske.  Isto tako u aplikacije Ekspertne pro</w:t>
      </w:r>
      <w:r>
        <w:t xml:space="preserve">cjene potrebno je implementirati sve mjere novih intervencija te raditi na daljnjoj nadogradnji i usavršavanju aplikacije.  </w:t>
      </w:r>
    </w:p>
    <w:p w:rsidR="00976CAE" w:rsidRDefault="00112B83">
      <w:r>
        <w:t>Za IAKS mjere ruralnog razvoja razvijen je sustav praćenja višegodišnjih obveza prostorno i alfanumerički kroz registar višegodišnj</w:t>
      </w:r>
      <w:r>
        <w:t>ih obveza i izračun kršenja višegodišnjih obveza. U 2024. godini potrebne su nadogradnje sustava radi paralelnog administriranja IAKS mjera ruralnog razvoja iz Programa ruralnog razvoja Republike Hrvatske za razdoblje 2014. – 2020. kojima višegodišnja obve</w:t>
      </w:r>
      <w:r>
        <w:t xml:space="preserve">za nije završena i IAKS intervencija ruralnog razvoja iz Strateškog plana Zajedničke poljoprivredne politike Republike Hrvatske 2023. - 2027. </w:t>
      </w:r>
    </w:p>
    <w:p w:rsidR="00976CAE" w:rsidRDefault="00112B83">
      <w:r>
        <w:t>Temelj za pripremu, zaprimanje i odobravanje svih zahtjeva za izravna plaćanja i IAKS mjera ruralnog razvoja je o</w:t>
      </w:r>
      <w:r>
        <w:t xml:space="preserve">državanje i nadogradnja aplikativnih modula Registara. Cilj nadogradnje podsustava za registre je razvoj i nadogradnja postojećeg Upisnika poljoprivrednika i Upisnika obiteljskih poljoprivrednih gospodarstava sukladno izmjenama pravnih osnova. Potrebna je </w:t>
      </w:r>
      <w:r>
        <w:t>nadogradnja povezanih registara (vinogradarski registar, EKO/EKOP registar), kao i bolja poveznica na Jedinstveni registar domaćih životinja te razvoj potrebnih funkcionalnosti za održavanje ARKOD-a. U sklopu nadogradnji ARKOD sustava potrebno je nastaviti</w:t>
      </w:r>
      <w:r>
        <w:t xml:space="preserve"> razvoj novog sustava za import novih ortofoto snimaka, te provedbu ARKOD ažuriranja primjenom novog DOF-a, verifikaciju poljoprivrednih parcela na područjima novog DOF-a, te nadograditi sustav za provedbu BTP kontrola (brzih terenskih kontrola), te detekc</w:t>
      </w:r>
      <w:r>
        <w:t xml:space="preserve">iju i administraciju neprihvatljivih površina. </w:t>
      </w:r>
    </w:p>
    <w:p w:rsidR="00976CAE" w:rsidRDefault="00112B83">
      <w:r>
        <w:t>ISRiF predstavlja računovodstveno-financijski sustav pomoću kojeg se vrše isplate korisnicima svih mjera koje provodi Agencija za plaćanja u poljoprivredi, ribarstvu i ruralnom razvoju te pomoću kojeg se prov</w:t>
      </w:r>
      <w:r>
        <w:t>odi računovodstveno evidentiranje poslovnih događaja i priprema propisanih financijskih izvještaja. Konstantno održavanje i nadogradnja ovog sustava je nužno kako bi podaci u sustavu bili točni, kako bi se isplate mogle izvršavati točno i pravovremeno te k</w:t>
      </w:r>
      <w:r>
        <w:t>ako bi korisnici imali sve informacije o svojim potraživanjima i eventualnim dugovanjima, a sve to uz poštivanje nacionalnog i EU zakonodavstva i njegovih izmjena na koje sustav mora biti spreman pravovremeno odgovoriti. Osim što ISRiF mora biti spreman na</w:t>
      </w:r>
      <w:r>
        <w:t xml:space="preserve"> eventualne izmjene u nacionalnom i EU zakonodavstvu, također mora pratiti i eventualne nalaze nacionalnih revizija kao i revizija tijela EK. Podaci koji su </w:t>
      </w:r>
      <w:r>
        <w:lastRenderedPageBreak/>
        <w:t>potrebni za izvršenje plaćanja ili naplate dugova se zaprimaju kroz modul odobravanja plaćanja te s</w:t>
      </w:r>
      <w:r>
        <w:t>e povlače u modul Financije kroz koji se vrše plaćanja, u Knjigu dužnika radi evidencije i poduzimanja mjera za povrat duga, u modul SAP Računovodstvo radi evidentiranja poslovnih događaja i u modul Poslovno upravljanje koji je osnova za izvještavanje prem</w:t>
      </w:r>
      <w:r>
        <w:t xml:space="preserve">a Europskoj komisiji (EK).  </w:t>
      </w:r>
    </w:p>
    <w:p w:rsidR="00976CAE" w:rsidRDefault="00112B83">
      <w:r>
        <w:t>Osim ISRiF-a, predmet nabave je i poslovno-izvještajni sustav (BIS) koji omogućava pojednostavljeni prikaz podataka iz drugih modula i izvora podataka vezanih za podatke o korisnicima, njihovim natječajima, poljoprivrednim povr</w:t>
      </w:r>
      <w:r>
        <w:t>šinama, isplatama i sl. BIS se koristi pri izradi izvještaja prema EK, Ministarstvu poljoprivrede i drugim tijelima javne uprave. Dodatno, uvođenjem poslovno-izvještajnog sustava znatno se olakšao rad djelatnika Agencije prilikom povlačenja podatka kod upi</w:t>
      </w:r>
      <w:r>
        <w:t xml:space="preserve">ta zainteresiranih strana. </w:t>
      </w:r>
    </w:p>
    <w:p w:rsidR="00976CAE" w:rsidRDefault="00112B83">
      <w:r>
        <w:t>Također je potrebno provesti nadogradnju sustava sukladno nalazima različitih revizija, kao što je implementacija izvještaja po dospijeću  temeljem nalaza revizije Državnog ureda za reviziju, zatim kreiranje izvještaja o dugovim</w:t>
      </w:r>
      <w:r>
        <w:t xml:space="preserve">a koje propisuje Europska komisija jer je dosadašnji način pripreme izvještaja koji je samo jednim dijelom implementiran u sustav podložan greškama zbog ručne obrade podataka i sama izrada traje relativno dugo – nalaz Agencije za reviziju sustava provedbe </w:t>
      </w:r>
      <w:r>
        <w:t xml:space="preserve">programa Europske unije.  </w:t>
      </w:r>
    </w:p>
    <w:p w:rsidR="00976CAE" w:rsidRDefault="00112B83">
      <w:r>
        <w:t>Važna nadogradnja koju je potrebno realizirati jest uspostava informacijskog sustava za provedbu mjera zajedničke organizacije tržišta. Trenutno se mjere zajedničke organizacije tržišta provode ručno. Korisnici imaju mogućnost pr</w:t>
      </w:r>
      <w:r>
        <w:t>ijave na mjeru na AGRONET-u samo u dijelu Nacionalnih potpora, no zahtjev moraju isprintati i potpisati te poslati, uz prateću dokumentaciju, poštom. Obzirom da se radi o velikom broju prijava (godišnje oko 40000-70000), zaprimanje Zahtjeva putem pošte izi</w:t>
      </w:r>
      <w:r>
        <w:t>skuje velike napore s urudžbiranjem, smještanjem dokumentacije, obradom, praćenjem i arhiviranjem uz rizik gubitka pošte, posebno u dijelu dopuna dokumentacije. Uspostavom informacijskog sustava za provedbu mjera zajedničke organizacije tržišta omogućilo b</w:t>
      </w:r>
      <w:r>
        <w:t xml:space="preserve">i se podnošenje zahtjeva i prijava za sve tržišne potpore te objava akata putem mrežne aplikacije, izvršila nadogradnja i razvoj odnosno integracija postojećeg ISUT sustava (Integrirani sustav upravljanja tržištem)  te omogućila obrada zahtjeva, isplata i </w:t>
      </w:r>
      <w:r>
        <w:t xml:space="preserve">izvještavanje u sustavu.  </w:t>
      </w:r>
    </w:p>
    <w:p w:rsidR="00976CAE" w:rsidRDefault="00112B83">
      <w:r>
        <w:t>Osima nadogradne i održavanja sustava, u 2024. planira se veća investicija u infrastrukturu. Trenutno  IT sektor teško može pružiti adekvatnu podršku poslovnim procesima u cijelosti zbog nedostatka resursa. Temeljem iskustava iz prethodnih godina, nužno je</w:t>
      </w:r>
      <w:r>
        <w:t xml:space="preserve"> svake poslovne godine dodati IT resurse u sustav kako bi mogli odgovoriti na zahtjeve koji su svake godine uvećani zbog prirode samog poslovanja. Prihvaćaju se novi projekti, Agencija ulazi u realizaciju novog programskog razdoblja te se samim time poveća</w:t>
      </w:r>
      <w:r>
        <w:t>va i potreba za pohranom podataka i većom procesorskom i memorijskom snagom sustava. Ovom velikom nbavom za koju smo planirali cca 3 mil EUR-a osigurali bismo realizaciju slijeećih ciljeva: nadogradnja poslužiteljske i mrežne opreme te sustava za pohranu p</w:t>
      </w:r>
      <w:r>
        <w:t xml:space="preserve">odataka IT sustava Agencije za plaćanja zbog povećanja potrebnih resursa u cilju adekvatne podrške poslovnim procesima, pohranu podataka vezanih uz obradu predmeta iz Programa ruralnog razvoja i ostalih mjera u nadležnosti Agencije za plaćanja; </w:t>
      </w:r>
    </w:p>
    <w:p w:rsidR="00976CAE" w:rsidRDefault="00112B83">
      <w:r>
        <w:t xml:space="preserve">podizanje </w:t>
      </w:r>
      <w:r>
        <w:t>brzine odziva sustava u cijelosti te povećanje sigurnosti sustava; povećanje raspoloživih resursa uslijed povećanja broja zahtjeva; konsolidiranje poslužiteljske opreme, zamijena dijela opreme kojoj je istekao radni vijek, osiguravanje neprekinusti poslova</w:t>
      </w:r>
      <w:r>
        <w:t xml:space="preserve">nja prema akreditacijskom kriteriju i normi ISO/IEC 27001; proširenje kapaciteta digitalizacije i pohrane podataka prema Uredbi o uredskom poslovanju (NN 72/2021). </w:t>
      </w:r>
    </w:p>
    <w:p w:rsidR="00976CAE" w:rsidRDefault="00112B83">
      <w:r>
        <w:t>Iz nacionalnog proračuna, odnosno aktivnosti K841002 INFORMATIZACIJA financirao bi se dio i</w:t>
      </w:r>
      <w:r>
        <w:t xml:space="preserve"> infrastrukture i nadogradnje softwarea cca 60%, a drugi dio planira se financirati iz sredstava TP.</w:t>
      </w:r>
    </w:p>
    <w:p w:rsidR="00976CAE" w:rsidRDefault="00112B83">
      <w:pPr>
        <w:pStyle w:val="Heading4"/>
      </w:pPr>
      <w:r>
        <w:t>T841008 HRVATSKI ZEMLJIŠNI INFORMACIJSKI SUSTAV - CROLIS</w:t>
      </w:r>
    </w:p>
    <w:p w:rsidR="00976CAE" w:rsidRDefault="00112B83">
      <w:pPr>
        <w:pStyle w:val="Heading8"/>
        <w:jc w:val="left"/>
      </w:pPr>
      <w:r>
        <w:t>Zakonske i druge pravne osnove</w:t>
      </w:r>
    </w:p>
    <w:p w:rsidR="00976CAE" w:rsidRDefault="00112B83">
      <w:r>
        <w:t>- Partnerski sporazum između Ministarstva gospodarstva i održivog r</w:t>
      </w:r>
      <w:r>
        <w:t xml:space="preserve">azvoja i Agencije za plaćanja u </w:t>
      </w:r>
    </w:p>
    <w:p w:rsidR="00976CAE" w:rsidRDefault="00112B83">
      <w:r>
        <w:t xml:space="preserve">  poljoprivredi, ribarstvu i ruralnom razvoju </w:t>
      </w:r>
    </w:p>
    <w:p w:rsidR="00976CAE" w:rsidRDefault="00112B83">
      <w:r>
        <w:t xml:space="preserve">- Pravilnik o unutarnjem ustrojstvu i sistematizaciji radnih mjesta </w:t>
      </w:r>
    </w:p>
    <w:p w:rsidR="00976CAE" w:rsidRDefault="00112B83">
      <w:r>
        <w:t>- LULUCF uredba i Pariški sporazum (EU zakonodovastvo)</w:t>
      </w:r>
    </w:p>
    <w:tbl>
      <w:tblPr>
        <w:tblStyle w:val="StilTablice"/>
        <w:tblW w:w="10206" w:type="dxa"/>
        <w:jc w:val="center"/>
        <w:tblLook w:val="04A0" w:firstRow="1" w:lastRow="0" w:firstColumn="1" w:lastColumn="0" w:noHBand="0" w:noVBand="1"/>
      </w:tblPr>
      <w:tblGrid>
        <w:gridCol w:w="1473"/>
        <w:gridCol w:w="1560"/>
        <w:gridCol w:w="1553"/>
        <w:gridCol w:w="1553"/>
        <w:gridCol w:w="1544"/>
        <w:gridCol w:w="1553"/>
        <w:gridCol w:w="970"/>
      </w:tblGrid>
      <w:tr w:rsidR="00976CAE">
        <w:trPr>
          <w:jc w:val="center"/>
        </w:trPr>
        <w:tc>
          <w:tcPr>
            <w:tcW w:w="1530" w:type="dxa"/>
            <w:shd w:val="clear" w:color="auto" w:fill="B5C0D8"/>
          </w:tcPr>
          <w:p w:rsidR="00976CAE" w:rsidRDefault="00112B83">
            <w:pPr>
              <w:pStyle w:val="CellHeader"/>
              <w:jc w:val="center"/>
            </w:pPr>
            <w:r>
              <w:rPr>
                <w:rFonts w:cs="Times New Roman"/>
              </w:rPr>
              <w:t>Naziv aktivnosti</w:t>
            </w:r>
          </w:p>
        </w:tc>
        <w:tc>
          <w:tcPr>
            <w:tcW w:w="1632" w:type="dxa"/>
            <w:shd w:val="clear" w:color="auto" w:fill="B5C0D8"/>
          </w:tcPr>
          <w:p w:rsidR="00976CAE" w:rsidRDefault="00112B83">
            <w:pPr>
              <w:pStyle w:val="CellHeader"/>
              <w:jc w:val="center"/>
            </w:pPr>
            <w:r>
              <w:rPr>
                <w:rFonts w:cs="Times New Roman"/>
              </w:rPr>
              <w:t>Izvršenje 2022.</w:t>
            </w:r>
          </w:p>
        </w:tc>
        <w:tc>
          <w:tcPr>
            <w:tcW w:w="1632" w:type="dxa"/>
            <w:shd w:val="clear" w:color="auto" w:fill="B5C0D8"/>
          </w:tcPr>
          <w:p w:rsidR="00976CAE" w:rsidRDefault="00112B83">
            <w:pPr>
              <w:pStyle w:val="CellHeader"/>
              <w:jc w:val="center"/>
            </w:pPr>
            <w:r>
              <w:rPr>
                <w:rFonts w:cs="Times New Roman"/>
              </w:rPr>
              <w:t>Plan 2023.</w:t>
            </w:r>
          </w:p>
        </w:tc>
        <w:tc>
          <w:tcPr>
            <w:tcW w:w="1632" w:type="dxa"/>
            <w:shd w:val="clear" w:color="auto" w:fill="B5C0D8"/>
          </w:tcPr>
          <w:p w:rsidR="00976CAE" w:rsidRDefault="00112B83">
            <w:pPr>
              <w:pStyle w:val="CellHeader"/>
              <w:jc w:val="center"/>
            </w:pPr>
            <w:r>
              <w:rPr>
                <w:rFonts w:cs="Times New Roman"/>
              </w:rPr>
              <w:t>Plan 2024.</w:t>
            </w:r>
          </w:p>
        </w:tc>
        <w:tc>
          <w:tcPr>
            <w:tcW w:w="1632" w:type="dxa"/>
            <w:shd w:val="clear" w:color="auto" w:fill="B5C0D8"/>
          </w:tcPr>
          <w:p w:rsidR="00976CAE" w:rsidRDefault="00112B83">
            <w:pPr>
              <w:pStyle w:val="CellHeader"/>
              <w:jc w:val="center"/>
            </w:pPr>
            <w:r>
              <w:rPr>
                <w:rFonts w:cs="Times New Roman"/>
              </w:rPr>
              <w:t>Plan 2025.</w:t>
            </w:r>
          </w:p>
        </w:tc>
        <w:tc>
          <w:tcPr>
            <w:tcW w:w="1632" w:type="dxa"/>
            <w:shd w:val="clear" w:color="auto" w:fill="B5C0D8"/>
          </w:tcPr>
          <w:p w:rsidR="00976CAE" w:rsidRDefault="00112B83">
            <w:pPr>
              <w:pStyle w:val="CellHeader"/>
              <w:jc w:val="center"/>
            </w:pPr>
            <w:r>
              <w:rPr>
                <w:rFonts w:cs="Times New Roman"/>
              </w:rPr>
              <w:t>Plan 2026.</w:t>
            </w:r>
          </w:p>
        </w:tc>
        <w:tc>
          <w:tcPr>
            <w:tcW w:w="510" w:type="dxa"/>
            <w:shd w:val="clear" w:color="auto" w:fill="B5C0D8"/>
          </w:tcPr>
          <w:p w:rsidR="00976CAE" w:rsidRDefault="00112B83">
            <w:pPr>
              <w:pStyle w:val="CellHeader"/>
              <w:jc w:val="center"/>
            </w:pPr>
            <w:r>
              <w:rPr>
                <w:rFonts w:cs="Times New Roman"/>
              </w:rPr>
              <w:t>Indeks 2024/2023</w:t>
            </w:r>
          </w:p>
        </w:tc>
      </w:tr>
      <w:tr w:rsidR="00976CAE">
        <w:trPr>
          <w:jc w:val="center"/>
        </w:trPr>
        <w:tc>
          <w:tcPr>
            <w:tcW w:w="1530" w:type="dxa"/>
            <w:vAlign w:val="top"/>
          </w:tcPr>
          <w:p w:rsidR="00976CAE" w:rsidRDefault="00112B83">
            <w:pPr>
              <w:pStyle w:val="CellColumn"/>
              <w:jc w:val="left"/>
            </w:pPr>
            <w:r>
              <w:rPr>
                <w:rFonts w:cs="Times New Roman"/>
              </w:rPr>
              <w:t>T841008</w:t>
            </w:r>
          </w:p>
        </w:tc>
        <w:tc>
          <w:tcPr>
            <w:tcW w:w="1632" w:type="dxa"/>
            <w:vAlign w:val="top"/>
          </w:tcPr>
          <w:p w:rsidR="00976CAE" w:rsidRDefault="00112B83">
            <w:pPr>
              <w:jc w:val="right"/>
            </w:pPr>
            <w:r>
              <w:t>141.795</w:t>
            </w:r>
          </w:p>
        </w:tc>
        <w:tc>
          <w:tcPr>
            <w:tcW w:w="1632" w:type="dxa"/>
            <w:vAlign w:val="top"/>
          </w:tcPr>
          <w:p w:rsidR="00976CAE" w:rsidRDefault="00112B83">
            <w:pPr>
              <w:jc w:val="right"/>
            </w:pPr>
            <w:r>
              <w:t>229.104</w:t>
            </w:r>
          </w:p>
        </w:tc>
        <w:tc>
          <w:tcPr>
            <w:tcW w:w="1632" w:type="dxa"/>
            <w:vAlign w:val="top"/>
          </w:tcPr>
          <w:p w:rsidR="00976CAE" w:rsidRDefault="00112B83">
            <w:pPr>
              <w:jc w:val="right"/>
            </w:pPr>
            <w:r>
              <w:t>447.207</w:t>
            </w:r>
          </w:p>
        </w:tc>
        <w:tc>
          <w:tcPr>
            <w:tcW w:w="1632" w:type="dxa"/>
            <w:vAlign w:val="top"/>
          </w:tcPr>
          <w:p w:rsidR="00976CAE" w:rsidRDefault="00112B83">
            <w:pPr>
              <w:jc w:val="right"/>
            </w:pPr>
            <w:r>
              <w:t>50.000</w:t>
            </w:r>
          </w:p>
        </w:tc>
        <w:tc>
          <w:tcPr>
            <w:tcW w:w="1632" w:type="dxa"/>
            <w:vAlign w:val="top"/>
          </w:tcPr>
          <w:p w:rsidR="00976CAE" w:rsidRDefault="00112B83">
            <w:pPr>
              <w:jc w:val="right"/>
            </w:pPr>
            <w:r>
              <w:t>200.000</w:t>
            </w:r>
          </w:p>
        </w:tc>
        <w:tc>
          <w:tcPr>
            <w:tcW w:w="510" w:type="dxa"/>
            <w:vAlign w:val="top"/>
          </w:tcPr>
          <w:p w:rsidR="00976CAE" w:rsidRDefault="00112B83">
            <w:pPr>
              <w:jc w:val="right"/>
            </w:pPr>
            <w:r>
              <w:t>195,2</w:t>
            </w:r>
          </w:p>
        </w:tc>
      </w:tr>
    </w:tbl>
    <w:p w:rsidR="00976CAE" w:rsidRDefault="00976CAE">
      <w:pPr>
        <w:jc w:val="left"/>
      </w:pPr>
    </w:p>
    <w:p w:rsidR="00976CAE" w:rsidRDefault="00112B83">
      <w:r>
        <w:lastRenderedPageBreak/>
        <w:t>I u 2024. godini APPRRR, zajedno s partnerskim institucijama, nastavlja s uspostavom i razvojem Hrvatskog informacijskog zemljišnog sustava (CROLIS) kao višenamjenskog sustava za praćenje uporabe zemljišta u RH te u svrhu praćenja i izvještavanja o bilanca</w:t>
      </w:r>
      <w:r>
        <w:t>ma stakleničkih plinova za potrebe ublažavanja klimatskih promjena u LULUCF sektoru (Land Use Land Change and Forestry). Nakon uspostave CROLIS-a po prvi put će biti dostupni vektorski podaci o poljoprivrednim površinama za cijelu državu za 2020. kao počet</w:t>
      </w:r>
      <w:r>
        <w:t xml:space="preserve">nu (nultu) ili referentnu godinu.  </w:t>
      </w:r>
    </w:p>
    <w:p w:rsidR="00976CAE" w:rsidRDefault="00112B83">
      <w:r>
        <w:t xml:space="preserve">Vezano uz uspostavu Hrvatskog  informacijskog sustava CROLIS, tijekom 2024. godine biti će ključno od LIFE programske jedinice pri EU dobiti suglasnost za produljenje Projekta najmanje do kraja 2025. godine. Produljenje </w:t>
      </w:r>
      <w:r>
        <w:t>je nužno zbog kašnjenju u provedbi, što se najviše odrazilo na zaposlenju i ustroju samostalna službe za CROLIS, a što je onda rezultiralo i u kašnjenju sa pripremom dokumentacije za pokretanje javnih nabava od strane Ministarstva gospodarstva i održivog r</w:t>
      </w:r>
      <w:r>
        <w:t>azvoja. Kroz 2024 godinu fokus aktivnosti biti će na razvoju, uspostavi i testiranju CROLIS programskog rješenja, kao i pripremi i verifikaciji ulaznih vektorskih podataka, te pripremi trening podataka za provedbu automatske klasifikacije ARKOD+ (plus) i C</w:t>
      </w:r>
      <w:r>
        <w:t xml:space="preserve">ROLIS LU podataka.  Ukoliko će se pokazati mogućim, te će se zaposliti dovoljan broj djelatnika, paralelno će se provoditi aktivnosti na ručnoj vektorizaciji ARKOD+ (plus) sloja, te evidencije zapuštenog poljoprivrednog zemljišta. </w:t>
      </w:r>
    </w:p>
    <w:p w:rsidR="00976CAE" w:rsidRDefault="00112B83">
      <w:r>
        <w:t>Provedba projekta, ako s</w:t>
      </w:r>
      <w:r>
        <w:t xml:space="preserve">e ne ishodi produženje, trebala bi završiti 30.04.2024.g. </w:t>
      </w:r>
    </w:p>
    <w:p w:rsidR="00976CAE" w:rsidRDefault="00112B83">
      <w:r>
        <w:t xml:space="preserve">Zbog činjenice da se u sustav ARKOD (LPIS) unose samo poljoprivredne površine čiji vlasnici podnose zahtjev za </w:t>
      </w:r>
    </w:p>
    <w:p w:rsidR="00976CAE" w:rsidRDefault="00112B83">
      <w:r>
        <w:t>isplatom poticaja, za sada je u ARKOD-u registrirano manje od 50 % ukupnih poljoprivr</w:t>
      </w:r>
      <w:r>
        <w:t xml:space="preserve">ednih površina u Republici </w:t>
      </w:r>
    </w:p>
    <w:p w:rsidR="00976CAE" w:rsidRDefault="00112B83">
      <w:r>
        <w:t xml:space="preserve">Hrvatskoj. Nakon uspostave CROLIS-a, sve poljoprivredne površine biti će utvrđene i službeno registrirane, što će </w:t>
      </w:r>
    </w:p>
    <w:p w:rsidR="00976CAE" w:rsidRDefault="00112B83">
      <w:r>
        <w:t xml:space="preserve">omogućiti bolje planiranje mjera ublažavanja klimatskih promjena. Nadalje, CROLIS će povećati broj relevantnih </w:t>
      </w:r>
    </w:p>
    <w:p w:rsidR="00976CAE" w:rsidRDefault="00112B83">
      <w:r>
        <w:t>i</w:t>
      </w:r>
      <w:r>
        <w:t xml:space="preserve">nstitucija koje će biti uključene u Land Parcel Identification System (LPIS), to jest hrvatski ARKOD. Trenutno je u </w:t>
      </w:r>
    </w:p>
    <w:p w:rsidR="00976CAE" w:rsidRDefault="00112B83">
      <w:r>
        <w:t xml:space="preserve">ARKOD uključena samo Agencija za plaćanja u poljoprivredi, ribarstvu i ruralnom razvoju (APPRRR), ali nakon </w:t>
      </w:r>
    </w:p>
    <w:p w:rsidR="00976CAE" w:rsidRDefault="00112B83">
      <w:r>
        <w:t>uspostave CROLIS-a, u ARKOD će</w:t>
      </w:r>
      <w:r>
        <w:t xml:space="preserve">, osim APPRRR-a, biti uključeni: Hrvatske šume d. o. o., Ministarstvo </w:t>
      </w:r>
    </w:p>
    <w:p w:rsidR="00976CAE" w:rsidRDefault="00112B83">
      <w:r>
        <w:t xml:space="preserve">gospodarstva i održivog razvoja i Državna geodetska uprava. </w:t>
      </w:r>
    </w:p>
    <w:p w:rsidR="00976CAE" w:rsidRDefault="00112B83">
      <w:r>
        <w:t xml:space="preserve">Trenutno u Republici Hrvatskoj ne postoji institucija koja raspolaže podacima o pokrovu i korištenju zemljišta te </w:t>
      </w:r>
    </w:p>
    <w:p w:rsidR="00976CAE" w:rsidRDefault="00112B83">
      <w:r>
        <w:t xml:space="preserve">upravljanju zemljištem i to podacima za sve kategorije zemljišta. Uspostavom CROLIS-a sva tijela profesionalno </w:t>
      </w:r>
    </w:p>
    <w:p w:rsidR="00976CAE" w:rsidRDefault="00112B83">
      <w:r>
        <w:t xml:space="preserve">certificirana za rad u području okoliša biti će informirane o mogućnostima CROLIS-a i informirane o načinu </w:t>
      </w:r>
    </w:p>
    <w:p w:rsidR="00976CAE" w:rsidRDefault="00112B83">
      <w:r>
        <w:t>njegovog korištenja (računa se oko s</w:t>
      </w:r>
      <w:r>
        <w:t xml:space="preserve">totinjak) kroz održavanje radionica, prezentacija i konferencija. </w:t>
      </w:r>
    </w:p>
    <w:p w:rsidR="00976CAE" w:rsidRDefault="00112B83">
      <w:r>
        <w:t xml:space="preserve">Ministarstvo gospodarstva i održivog razvoja, nositelj projekta teretit će podskupinu 369 prijenosi između </w:t>
      </w:r>
    </w:p>
    <w:p w:rsidR="00976CAE" w:rsidRDefault="00112B83">
      <w:r>
        <w:t>proračunskih korisnika istog proračuna, a Agencija za plaćanja u poljoprivredi, r</w:t>
      </w:r>
      <w:r>
        <w:t xml:space="preserve">ibarstvu i ruralnom razvoju </w:t>
      </w:r>
    </w:p>
    <w:p w:rsidR="00976CAE" w:rsidRDefault="00112B83">
      <w:r>
        <w:t>evidentirat će prihod na podskupini 639, na izvoru financiranja 52. Temeljem informacija dobivenih od MINGOR na podskupini 639 Agencija planira u 2024.g. 555.817 EUR-a od čega 449.789 EUR-a iz programa LIFE i 106.028 iz Fonda z</w:t>
      </w:r>
      <w:r>
        <w:t>a zaštitu okoliša i energetsku učinkovitost.</w:t>
      </w:r>
    </w:p>
    <w:p w:rsidR="00976CAE" w:rsidRDefault="00112B83">
      <w:pPr>
        <w:pStyle w:val="Heading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976CAE">
        <w:trPr>
          <w:jc w:val="center"/>
        </w:trPr>
        <w:tc>
          <w:tcPr>
            <w:tcW w:w="2245" w:type="dxa"/>
            <w:shd w:val="clear" w:color="auto" w:fill="B5C0D8"/>
          </w:tcPr>
          <w:p w:rsidR="00976CAE" w:rsidRDefault="00112B83">
            <w:pPr>
              <w:jc w:val="center"/>
            </w:pPr>
            <w:r>
              <w:t>Pokazatelj rezultata</w:t>
            </w:r>
          </w:p>
        </w:tc>
        <w:tc>
          <w:tcPr>
            <w:tcW w:w="2245" w:type="dxa"/>
            <w:shd w:val="clear" w:color="auto" w:fill="B5C0D8"/>
          </w:tcPr>
          <w:p w:rsidR="00976CAE" w:rsidRDefault="00112B83">
            <w:pPr>
              <w:pStyle w:val="CellHeader"/>
              <w:jc w:val="center"/>
            </w:pPr>
            <w:r>
              <w:rPr>
                <w:rFonts w:cs="Times New Roman"/>
              </w:rPr>
              <w:t>Definicija</w:t>
            </w:r>
          </w:p>
        </w:tc>
        <w:tc>
          <w:tcPr>
            <w:tcW w:w="918" w:type="dxa"/>
            <w:shd w:val="clear" w:color="auto" w:fill="B5C0D8"/>
          </w:tcPr>
          <w:p w:rsidR="00976CAE" w:rsidRDefault="00112B83">
            <w:pPr>
              <w:pStyle w:val="CellHeader"/>
              <w:jc w:val="center"/>
            </w:pPr>
            <w:r>
              <w:rPr>
                <w:rFonts w:cs="Times New Roman"/>
              </w:rPr>
              <w:t>Jedinica</w:t>
            </w:r>
          </w:p>
        </w:tc>
        <w:tc>
          <w:tcPr>
            <w:tcW w:w="918" w:type="dxa"/>
            <w:shd w:val="clear" w:color="auto" w:fill="B5C0D8"/>
          </w:tcPr>
          <w:p w:rsidR="00976CAE" w:rsidRDefault="00112B83">
            <w:pPr>
              <w:pStyle w:val="CellHeader"/>
              <w:jc w:val="center"/>
            </w:pPr>
            <w:r>
              <w:rPr>
                <w:rFonts w:cs="Times New Roman"/>
              </w:rPr>
              <w:t>Polazna vrijednost</w:t>
            </w:r>
          </w:p>
        </w:tc>
        <w:tc>
          <w:tcPr>
            <w:tcW w:w="918" w:type="dxa"/>
            <w:shd w:val="clear" w:color="auto" w:fill="B5C0D8"/>
          </w:tcPr>
          <w:p w:rsidR="00976CAE" w:rsidRDefault="00112B83">
            <w:pPr>
              <w:pStyle w:val="CellHeader"/>
              <w:jc w:val="center"/>
            </w:pPr>
            <w:r>
              <w:rPr>
                <w:rFonts w:cs="Times New Roman"/>
              </w:rPr>
              <w:t>Izvor podataka</w:t>
            </w:r>
          </w:p>
        </w:tc>
        <w:tc>
          <w:tcPr>
            <w:tcW w:w="918" w:type="dxa"/>
            <w:shd w:val="clear" w:color="auto" w:fill="B5C0D8"/>
          </w:tcPr>
          <w:p w:rsidR="00976CAE" w:rsidRDefault="00112B83">
            <w:pPr>
              <w:pStyle w:val="CellHeader"/>
              <w:jc w:val="center"/>
            </w:pPr>
            <w:r>
              <w:rPr>
                <w:rFonts w:cs="Times New Roman"/>
              </w:rPr>
              <w:t>Ciljana vrijednost (2024.)</w:t>
            </w:r>
          </w:p>
        </w:tc>
        <w:tc>
          <w:tcPr>
            <w:tcW w:w="918" w:type="dxa"/>
            <w:shd w:val="clear" w:color="auto" w:fill="B5C0D8"/>
          </w:tcPr>
          <w:p w:rsidR="00976CAE" w:rsidRDefault="00112B83">
            <w:pPr>
              <w:pStyle w:val="CellHeader"/>
              <w:jc w:val="center"/>
            </w:pPr>
            <w:r>
              <w:rPr>
                <w:rFonts w:cs="Times New Roman"/>
              </w:rPr>
              <w:t>Ciljana vrijednost (2025.)</w:t>
            </w:r>
          </w:p>
        </w:tc>
        <w:tc>
          <w:tcPr>
            <w:tcW w:w="918" w:type="dxa"/>
            <w:shd w:val="clear" w:color="auto" w:fill="B5C0D8"/>
          </w:tcPr>
          <w:p w:rsidR="00976CAE" w:rsidRDefault="00112B83">
            <w:pPr>
              <w:pStyle w:val="CellHeader"/>
              <w:jc w:val="center"/>
            </w:pPr>
            <w:r>
              <w:rPr>
                <w:rFonts w:cs="Times New Roman"/>
              </w:rPr>
              <w:t>Ciljana vrijednost (2026.)</w:t>
            </w:r>
          </w:p>
        </w:tc>
      </w:tr>
      <w:tr w:rsidR="00976CAE">
        <w:trPr>
          <w:jc w:val="center"/>
        </w:trPr>
        <w:tc>
          <w:tcPr>
            <w:tcW w:w="2245" w:type="dxa"/>
            <w:vAlign w:val="top"/>
          </w:tcPr>
          <w:p w:rsidR="00976CAE" w:rsidRDefault="00112B83">
            <w:pPr>
              <w:pStyle w:val="CellColumn"/>
              <w:jc w:val="left"/>
            </w:pPr>
            <w:r>
              <w:rPr>
                <w:rFonts w:cs="Times New Roman"/>
              </w:rPr>
              <w:t>Osigurani odgovarajući ljudski potencijali</w:t>
            </w:r>
          </w:p>
        </w:tc>
        <w:tc>
          <w:tcPr>
            <w:tcW w:w="2245" w:type="dxa"/>
            <w:vAlign w:val="top"/>
          </w:tcPr>
          <w:p w:rsidR="00976CAE" w:rsidRDefault="00112B83">
            <w:pPr>
              <w:pStyle w:val="CellColumn"/>
              <w:jc w:val="left"/>
            </w:pPr>
            <w:r>
              <w:rPr>
                <w:rFonts w:cs="Times New Roman"/>
              </w:rPr>
              <w:t>Zapošljavanje stručnih ljudi sukladno specifikaciji projektnog zadatka</w:t>
            </w:r>
          </w:p>
        </w:tc>
        <w:tc>
          <w:tcPr>
            <w:tcW w:w="918" w:type="dxa"/>
          </w:tcPr>
          <w:p w:rsidR="00976CAE" w:rsidRDefault="00112B83">
            <w:pPr>
              <w:jc w:val="center"/>
            </w:pPr>
            <w:r>
              <w:t>broj</w:t>
            </w:r>
          </w:p>
        </w:tc>
        <w:tc>
          <w:tcPr>
            <w:tcW w:w="918" w:type="dxa"/>
          </w:tcPr>
          <w:p w:rsidR="00976CAE" w:rsidRDefault="00112B83">
            <w:pPr>
              <w:jc w:val="center"/>
            </w:pPr>
            <w:r>
              <w:t>5</w:t>
            </w:r>
          </w:p>
        </w:tc>
        <w:tc>
          <w:tcPr>
            <w:tcW w:w="918" w:type="dxa"/>
          </w:tcPr>
          <w:p w:rsidR="00976CAE" w:rsidRDefault="00112B83">
            <w:pPr>
              <w:pStyle w:val="CellColumn"/>
              <w:jc w:val="center"/>
            </w:pPr>
            <w:r>
              <w:rPr>
                <w:rFonts w:cs="Times New Roman"/>
              </w:rPr>
              <w:t>APPRRR</w:t>
            </w:r>
          </w:p>
        </w:tc>
        <w:tc>
          <w:tcPr>
            <w:tcW w:w="918" w:type="dxa"/>
          </w:tcPr>
          <w:p w:rsidR="00976CAE" w:rsidRDefault="00112B83">
            <w:pPr>
              <w:jc w:val="center"/>
            </w:pPr>
            <w:r>
              <w:t>15</w:t>
            </w:r>
          </w:p>
        </w:tc>
        <w:tc>
          <w:tcPr>
            <w:tcW w:w="918" w:type="dxa"/>
          </w:tcPr>
          <w:p w:rsidR="00976CAE" w:rsidRDefault="00112B83">
            <w:pPr>
              <w:jc w:val="center"/>
            </w:pPr>
            <w:r>
              <w:t>19</w:t>
            </w:r>
          </w:p>
        </w:tc>
        <w:tc>
          <w:tcPr>
            <w:tcW w:w="918" w:type="dxa"/>
          </w:tcPr>
          <w:p w:rsidR="00976CAE" w:rsidRDefault="00112B83">
            <w:pPr>
              <w:jc w:val="center"/>
            </w:pPr>
            <w:r>
              <w:t>19</w:t>
            </w:r>
          </w:p>
        </w:tc>
      </w:tr>
      <w:tr w:rsidR="00976CAE">
        <w:trPr>
          <w:jc w:val="center"/>
        </w:trPr>
        <w:tc>
          <w:tcPr>
            <w:tcW w:w="2245" w:type="dxa"/>
            <w:vAlign w:val="top"/>
          </w:tcPr>
          <w:p w:rsidR="00976CAE" w:rsidRDefault="00112B83">
            <w:pPr>
              <w:pStyle w:val="CellColumn"/>
              <w:jc w:val="left"/>
            </w:pPr>
            <w:r>
              <w:rPr>
                <w:rFonts w:cs="Times New Roman"/>
              </w:rPr>
              <w:t>Broj održanih edukacija</w:t>
            </w:r>
          </w:p>
        </w:tc>
        <w:tc>
          <w:tcPr>
            <w:tcW w:w="2245" w:type="dxa"/>
            <w:vAlign w:val="top"/>
          </w:tcPr>
          <w:p w:rsidR="00976CAE" w:rsidRDefault="00112B83">
            <w:pPr>
              <w:pStyle w:val="CellColumn"/>
              <w:jc w:val="left"/>
            </w:pPr>
            <w:r>
              <w:rPr>
                <w:rFonts w:cs="Times New Roman"/>
              </w:rPr>
              <w:t xml:space="preserve">Pohađanjem edukacija, </w:t>
            </w:r>
          </w:p>
          <w:p w:rsidR="00976CAE" w:rsidRDefault="00112B83">
            <w:pPr>
              <w:pStyle w:val="CellColumn"/>
              <w:jc w:val="left"/>
            </w:pPr>
            <w:r>
              <w:rPr>
                <w:rFonts w:cs="Times New Roman"/>
              </w:rPr>
              <w:t xml:space="preserve">treninga i studijskih </w:t>
            </w:r>
          </w:p>
          <w:p w:rsidR="00976CAE" w:rsidRDefault="00112B83">
            <w:pPr>
              <w:pStyle w:val="CellColumn"/>
              <w:jc w:val="left"/>
            </w:pPr>
            <w:r>
              <w:rPr>
                <w:rFonts w:cs="Times New Roman"/>
              </w:rPr>
              <w:t xml:space="preserve">posjeta djelatnici rade na </w:t>
            </w:r>
          </w:p>
          <w:p w:rsidR="00976CAE" w:rsidRDefault="00112B83">
            <w:pPr>
              <w:pStyle w:val="CellColumn"/>
              <w:jc w:val="left"/>
            </w:pPr>
            <w:r>
              <w:rPr>
                <w:rFonts w:cs="Times New Roman"/>
              </w:rPr>
              <w:t xml:space="preserve">usavršavanju znanja i </w:t>
            </w:r>
          </w:p>
          <w:p w:rsidR="00976CAE" w:rsidRDefault="00112B83">
            <w:pPr>
              <w:pStyle w:val="CellColumn"/>
              <w:jc w:val="left"/>
            </w:pPr>
            <w:r>
              <w:rPr>
                <w:rFonts w:cs="Times New Roman"/>
              </w:rPr>
              <w:t xml:space="preserve">vještina iz specifičnih </w:t>
            </w:r>
          </w:p>
          <w:p w:rsidR="00976CAE" w:rsidRDefault="00112B83">
            <w:pPr>
              <w:pStyle w:val="CellColumn"/>
              <w:jc w:val="left"/>
            </w:pPr>
            <w:r>
              <w:rPr>
                <w:rFonts w:cs="Times New Roman"/>
              </w:rPr>
              <w:t>područja potrebnih za rad</w:t>
            </w:r>
          </w:p>
        </w:tc>
        <w:tc>
          <w:tcPr>
            <w:tcW w:w="918" w:type="dxa"/>
          </w:tcPr>
          <w:p w:rsidR="00976CAE" w:rsidRDefault="00112B83">
            <w:pPr>
              <w:jc w:val="center"/>
            </w:pPr>
            <w:r>
              <w:t>broj</w:t>
            </w:r>
          </w:p>
        </w:tc>
        <w:tc>
          <w:tcPr>
            <w:tcW w:w="918" w:type="dxa"/>
          </w:tcPr>
          <w:p w:rsidR="00976CAE" w:rsidRDefault="00112B83">
            <w:pPr>
              <w:jc w:val="center"/>
            </w:pPr>
            <w:r>
              <w:t>0</w:t>
            </w:r>
          </w:p>
        </w:tc>
        <w:tc>
          <w:tcPr>
            <w:tcW w:w="918" w:type="dxa"/>
          </w:tcPr>
          <w:p w:rsidR="00976CAE" w:rsidRDefault="00112B83">
            <w:pPr>
              <w:pStyle w:val="CellColumn"/>
              <w:jc w:val="center"/>
            </w:pPr>
            <w:r>
              <w:rPr>
                <w:rFonts w:cs="Times New Roman"/>
              </w:rPr>
              <w:t>APPRRR</w:t>
            </w:r>
          </w:p>
        </w:tc>
        <w:tc>
          <w:tcPr>
            <w:tcW w:w="918" w:type="dxa"/>
          </w:tcPr>
          <w:p w:rsidR="00976CAE" w:rsidRDefault="00112B83">
            <w:pPr>
              <w:jc w:val="center"/>
            </w:pPr>
            <w:r>
              <w:t>30</w:t>
            </w:r>
          </w:p>
        </w:tc>
        <w:tc>
          <w:tcPr>
            <w:tcW w:w="918" w:type="dxa"/>
          </w:tcPr>
          <w:p w:rsidR="00976CAE" w:rsidRDefault="00112B83">
            <w:pPr>
              <w:jc w:val="center"/>
            </w:pPr>
            <w:r>
              <w:t>30</w:t>
            </w:r>
          </w:p>
        </w:tc>
        <w:tc>
          <w:tcPr>
            <w:tcW w:w="918" w:type="dxa"/>
          </w:tcPr>
          <w:p w:rsidR="00976CAE" w:rsidRDefault="00112B83">
            <w:pPr>
              <w:jc w:val="center"/>
            </w:pPr>
            <w:r>
              <w:t>30</w:t>
            </w:r>
          </w:p>
        </w:tc>
      </w:tr>
    </w:tbl>
    <w:p w:rsidR="00976CAE" w:rsidRDefault="00976CAE">
      <w:pPr>
        <w:jc w:val="left"/>
      </w:pPr>
    </w:p>
    <w:p w:rsidR="00976CAE" w:rsidRDefault="00112B83">
      <w:pPr>
        <w:pStyle w:val="Heading3"/>
      </w:pPr>
      <w:r>
        <w:rPr>
          <w:rFonts w:cs="Times New Roman"/>
        </w:rPr>
        <w:t>3004 RURALNI RAZVOJ</w:t>
      </w:r>
    </w:p>
    <w:tbl>
      <w:tblPr>
        <w:tblStyle w:val="StilTablice"/>
        <w:tblW w:w="10206" w:type="dxa"/>
        <w:jc w:val="center"/>
        <w:tblLook w:val="04A0" w:firstRow="1" w:lastRow="0" w:firstColumn="1" w:lastColumn="0" w:noHBand="0" w:noVBand="1"/>
      </w:tblPr>
      <w:tblGrid>
        <w:gridCol w:w="1421"/>
        <w:gridCol w:w="1555"/>
        <w:gridCol w:w="1565"/>
        <w:gridCol w:w="1565"/>
        <w:gridCol w:w="1565"/>
        <w:gridCol w:w="1565"/>
        <w:gridCol w:w="970"/>
      </w:tblGrid>
      <w:tr w:rsidR="00976CAE">
        <w:trPr>
          <w:jc w:val="center"/>
        </w:trPr>
        <w:tc>
          <w:tcPr>
            <w:tcW w:w="1530" w:type="dxa"/>
            <w:shd w:val="clear" w:color="auto" w:fill="B5C0D8"/>
          </w:tcPr>
          <w:p w:rsidR="00976CAE" w:rsidRDefault="00976CAE">
            <w:pPr>
              <w:pStyle w:val="CellHeader"/>
              <w:jc w:val="center"/>
            </w:pPr>
          </w:p>
        </w:tc>
        <w:tc>
          <w:tcPr>
            <w:tcW w:w="1632" w:type="dxa"/>
            <w:shd w:val="clear" w:color="auto" w:fill="B5C0D8"/>
          </w:tcPr>
          <w:p w:rsidR="00976CAE" w:rsidRDefault="00112B83">
            <w:pPr>
              <w:pStyle w:val="CellHeader"/>
              <w:jc w:val="center"/>
            </w:pPr>
            <w:r>
              <w:rPr>
                <w:rFonts w:cs="Times New Roman"/>
              </w:rPr>
              <w:t>Izvršenje 2022.</w:t>
            </w:r>
          </w:p>
        </w:tc>
        <w:tc>
          <w:tcPr>
            <w:tcW w:w="1632" w:type="dxa"/>
            <w:shd w:val="clear" w:color="auto" w:fill="B5C0D8"/>
          </w:tcPr>
          <w:p w:rsidR="00976CAE" w:rsidRDefault="00112B83">
            <w:pPr>
              <w:pStyle w:val="CellHeader"/>
              <w:jc w:val="center"/>
            </w:pPr>
            <w:r>
              <w:rPr>
                <w:rFonts w:cs="Times New Roman"/>
              </w:rPr>
              <w:t>Plan 2023.</w:t>
            </w:r>
          </w:p>
        </w:tc>
        <w:tc>
          <w:tcPr>
            <w:tcW w:w="1632" w:type="dxa"/>
            <w:shd w:val="clear" w:color="auto" w:fill="B5C0D8"/>
          </w:tcPr>
          <w:p w:rsidR="00976CAE" w:rsidRDefault="00112B83">
            <w:pPr>
              <w:pStyle w:val="CellHeader"/>
              <w:jc w:val="center"/>
            </w:pPr>
            <w:r>
              <w:rPr>
                <w:rFonts w:cs="Times New Roman"/>
              </w:rPr>
              <w:t>Plan 2024.</w:t>
            </w:r>
          </w:p>
        </w:tc>
        <w:tc>
          <w:tcPr>
            <w:tcW w:w="1632" w:type="dxa"/>
            <w:shd w:val="clear" w:color="auto" w:fill="B5C0D8"/>
          </w:tcPr>
          <w:p w:rsidR="00976CAE" w:rsidRDefault="00112B83">
            <w:pPr>
              <w:pStyle w:val="CellHeader"/>
              <w:jc w:val="center"/>
            </w:pPr>
            <w:r>
              <w:rPr>
                <w:rFonts w:cs="Times New Roman"/>
              </w:rPr>
              <w:t>Plan 2025.</w:t>
            </w:r>
          </w:p>
        </w:tc>
        <w:tc>
          <w:tcPr>
            <w:tcW w:w="1632" w:type="dxa"/>
            <w:shd w:val="clear" w:color="auto" w:fill="B5C0D8"/>
          </w:tcPr>
          <w:p w:rsidR="00976CAE" w:rsidRDefault="00112B83">
            <w:pPr>
              <w:pStyle w:val="CellHeader"/>
              <w:jc w:val="center"/>
            </w:pPr>
            <w:r>
              <w:rPr>
                <w:rFonts w:cs="Times New Roman"/>
              </w:rPr>
              <w:t>Plan 2026.</w:t>
            </w:r>
          </w:p>
        </w:tc>
        <w:tc>
          <w:tcPr>
            <w:tcW w:w="510" w:type="dxa"/>
            <w:shd w:val="clear" w:color="auto" w:fill="B5C0D8"/>
          </w:tcPr>
          <w:p w:rsidR="00976CAE" w:rsidRDefault="00112B83">
            <w:pPr>
              <w:pStyle w:val="CellHeader"/>
              <w:jc w:val="center"/>
            </w:pPr>
            <w:r>
              <w:rPr>
                <w:rFonts w:cs="Times New Roman"/>
              </w:rPr>
              <w:t>Indeks 2024/2023</w:t>
            </w:r>
          </w:p>
        </w:tc>
      </w:tr>
      <w:tr w:rsidR="00976CAE">
        <w:trPr>
          <w:jc w:val="center"/>
        </w:trPr>
        <w:tc>
          <w:tcPr>
            <w:tcW w:w="1530" w:type="dxa"/>
          </w:tcPr>
          <w:p w:rsidR="00976CAE" w:rsidRDefault="00112B83">
            <w:pPr>
              <w:pStyle w:val="CellColumn"/>
              <w:jc w:val="left"/>
            </w:pPr>
            <w:r>
              <w:rPr>
                <w:rFonts w:cs="Times New Roman"/>
              </w:rPr>
              <w:t>3004</w:t>
            </w:r>
          </w:p>
        </w:tc>
        <w:tc>
          <w:tcPr>
            <w:tcW w:w="1632" w:type="dxa"/>
          </w:tcPr>
          <w:p w:rsidR="00976CAE" w:rsidRDefault="00112B83">
            <w:pPr>
              <w:jc w:val="right"/>
            </w:pPr>
            <w:r>
              <w:t>6.914.880</w:t>
            </w:r>
          </w:p>
        </w:tc>
        <w:tc>
          <w:tcPr>
            <w:tcW w:w="1632" w:type="dxa"/>
          </w:tcPr>
          <w:p w:rsidR="00976CAE" w:rsidRDefault="00112B83">
            <w:pPr>
              <w:jc w:val="right"/>
            </w:pPr>
            <w:r>
              <w:t>13.125.863</w:t>
            </w:r>
          </w:p>
        </w:tc>
        <w:tc>
          <w:tcPr>
            <w:tcW w:w="1632" w:type="dxa"/>
          </w:tcPr>
          <w:p w:rsidR="00976CAE" w:rsidRDefault="00112B83">
            <w:pPr>
              <w:jc w:val="right"/>
            </w:pPr>
            <w:r>
              <w:t>15.317.550</w:t>
            </w:r>
          </w:p>
        </w:tc>
        <w:tc>
          <w:tcPr>
            <w:tcW w:w="1632" w:type="dxa"/>
          </w:tcPr>
          <w:p w:rsidR="00976CAE" w:rsidRDefault="00112B83">
            <w:pPr>
              <w:jc w:val="right"/>
            </w:pPr>
            <w:r>
              <w:t>15.434.500</w:t>
            </w:r>
          </w:p>
        </w:tc>
        <w:tc>
          <w:tcPr>
            <w:tcW w:w="1632" w:type="dxa"/>
          </w:tcPr>
          <w:p w:rsidR="00976CAE" w:rsidRDefault="00112B83">
            <w:pPr>
              <w:jc w:val="right"/>
            </w:pPr>
            <w:r>
              <w:t>15.034.500</w:t>
            </w:r>
          </w:p>
        </w:tc>
        <w:tc>
          <w:tcPr>
            <w:tcW w:w="510" w:type="dxa"/>
          </w:tcPr>
          <w:p w:rsidR="00976CAE" w:rsidRDefault="00112B83">
            <w:pPr>
              <w:jc w:val="right"/>
            </w:pPr>
            <w:r>
              <w:t>116,7</w:t>
            </w:r>
          </w:p>
        </w:tc>
      </w:tr>
    </w:tbl>
    <w:p w:rsidR="00976CAE" w:rsidRDefault="00976CAE">
      <w:pPr>
        <w:jc w:val="left"/>
      </w:pPr>
    </w:p>
    <w:p w:rsidR="00976CAE" w:rsidRDefault="00112B83">
      <w:r>
        <w:t xml:space="preserve">Ruralni razvoj kao drugi stup Zajedničke poljoprivredne politike financiran je sredstvima Europskog </w:t>
      </w:r>
    </w:p>
    <w:p w:rsidR="00976CAE" w:rsidRDefault="00112B83">
      <w:r>
        <w:t xml:space="preserve">poljoprivrednog fonda za ruralni razvoj (EPFRR), a dugoročni cilj je povećanje konkurentnosti poljoprivrede, </w:t>
      </w:r>
    </w:p>
    <w:p w:rsidR="00976CAE" w:rsidRDefault="00112B83">
      <w:r>
        <w:t xml:space="preserve">održivo upravljanje prirodnim resursima i uravnotežen razvoj ruralnih krajeva. </w:t>
      </w:r>
    </w:p>
    <w:p w:rsidR="00976CAE" w:rsidRDefault="00112B83">
      <w:r>
        <w:t xml:space="preserve">Program ruralnog razvoja Republike Hrvatske za razdoblje 2014. – 2020. službeno je odobren sredinom 2015. </w:t>
      </w:r>
    </w:p>
    <w:p w:rsidR="00976CAE" w:rsidRDefault="00112B83">
      <w:r>
        <w:t>godine. Njegova ukupna alokacija iznosi 2.383 milijarde eura, od čega</w:t>
      </w:r>
      <w:r>
        <w:t xml:space="preserve"> se 2.026 milijarde eura financira iz </w:t>
      </w:r>
    </w:p>
    <w:p w:rsidR="00976CAE" w:rsidRDefault="00112B83">
      <w:r>
        <w:t xml:space="preserve">Europskog fonda za ruralni razvoj (EPFRR), a ostatak iz sredstava nacionalnog proračuna Republike Hrvatske. </w:t>
      </w:r>
    </w:p>
    <w:p w:rsidR="00976CAE" w:rsidRDefault="00112B83">
      <w:r>
        <w:t xml:space="preserve">Isplate iz ovog programa trebale bi završiti zaključno s datumom 30.06.2024.g. </w:t>
      </w:r>
    </w:p>
    <w:p w:rsidR="00976CAE" w:rsidRDefault="00112B83">
      <w:r>
        <w:t xml:space="preserve"> </w:t>
      </w:r>
    </w:p>
    <w:p w:rsidR="00976CAE" w:rsidRDefault="00112B83">
      <w:r>
        <w:t xml:space="preserve">Zajednička poljoprivredna </w:t>
      </w:r>
      <w:r>
        <w:t xml:space="preserve">politika EU 2023.-2027.g. kao opće ciljeve ističe: </w:t>
      </w:r>
    </w:p>
    <w:p w:rsidR="00976CAE" w:rsidRDefault="00112B83">
      <w:r>
        <w:t xml:space="preserve">-poticanje pametnog, konkuretnog i diversificiranog sektora poljoprivrede kojim se osigurava dugoročna sigurnost </w:t>
      </w:r>
    </w:p>
    <w:p w:rsidR="00976CAE" w:rsidRDefault="00112B83">
      <w:r>
        <w:t xml:space="preserve">opskrbe hranom; </w:t>
      </w:r>
    </w:p>
    <w:p w:rsidR="00976CAE" w:rsidRDefault="00112B83">
      <w:r>
        <w:t>-podupiranje i jačanje zaštite okoliša, uključujući bioraznolikost i djel</w:t>
      </w:r>
      <w:r>
        <w:t xml:space="preserve">ovanje u području klime te doprinos </w:t>
      </w:r>
    </w:p>
    <w:p w:rsidR="00976CAE" w:rsidRDefault="00112B83">
      <w:r>
        <w:t xml:space="preserve">postizanju ciljeva unije u području okoliša i klime, uključujući njezine obveze u okviru Pariškog sporazuma; </w:t>
      </w:r>
    </w:p>
    <w:p w:rsidR="00976CAE" w:rsidRDefault="00112B83">
      <w:r>
        <w:t xml:space="preserve">-jačanje socioekonomske strukture ruralnih područja. </w:t>
      </w:r>
    </w:p>
    <w:p w:rsidR="00976CAE" w:rsidRDefault="00112B83">
      <w:r>
        <w:t xml:space="preserve">Poljoprivreda i ruralna područja imaju središnju ulogu </w:t>
      </w:r>
      <w:r>
        <w:t>u europskom zelenom planu, a ZPP za razdoblje 2023. – 2027. bit će ključan instrument u ostvarivanju ciljeva strategije „od polja do stola” i strategije za bioraznolikost.</w:t>
      </w:r>
    </w:p>
    <w:p w:rsidR="00976CAE" w:rsidRDefault="00112B83">
      <w:pPr>
        <w:pStyle w:val="Heading8"/>
        <w:jc w:val="left"/>
      </w:pPr>
      <w:r>
        <w:t>Cilj 1. Unapređenje kvalitete života u ruralnim područjima</w:t>
      </w:r>
    </w:p>
    <w:p w:rsidR="00976CAE" w:rsidRDefault="00112B83">
      <w:pPr>
        <w:pStyle w:val="Heading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976CAE">
        <w:trPr>
          <w:jc w:val="center"/>
        </w:trPr>
        <w:tc>
          <w:tcPr>
            <w:tcW w:w="2245" w:type="dxa"/>
            <w:shd w:val="clear" w:color="auto" w:fill="B5C0D8"/>
          </w:tcPr>
          <w:p w:rsidR="00976CAE" w:rsidRDefault="00112B83">
            <w:pPr>
              <w:jc w:val="center"/>
            </w:pPr>
            <w:r>
              <w:t>Pokaza</w:t>
            </w:r>
            <w:r>
              <w:t>telj učinka</w:t>
            </w:r>
          </w:p>
        </w:tc>
        <w:tc>
          <w:tcPr>
            <w:tcW w:w="2245" w:type="dxa"/>
            <w:shd w:val="clear" w:color="auto" w:fill="B5C0D8"/>
          </w:tcPr>
          <w:p w:rsidR="00976CAE" w:rsidRDefault="00112B83">
            <w:pPr>
              <w:pStyle w:val="CellHeader"/>
              <w:jc w:val="center"/>
            </w:pPr>
            <w:r>
              <w:rPr>
                <w:rFonts w:cs="Times New Roman"/>
              </w:rPr>
              <w:t>Definicija</w:t>
            </w:r>
          </w:p>
        </w:tc>
        <w:tc>
          <w:tcPr>
            <w:tcW w:w="918" w:type="dxa"/>
            <w:shd w:val="clear" w:color="auto" w:fill="B5C0D8"/>
          </w:tcPr>
          <w:p w:rsidR="00976CAE" w:rsidRDefault="00112B83">
            <w:pPr>
              <w:pStyle w:val="CellHeader"/>
              <w:jc w:val="center"/>
            </w:pPr>
            <w:r>
              <w:rPr>
                <w:rFonts w:cs="Times New Roman"/>
              </w:rPr>
              <w:t>Jedinica</w:t>
            </w:r>
          </w:p>
        </w:tc>
        <w:tc>
          <w:tcPr>
            <w:tcW w:w="918" w:type="dxa"/>
            <w:shd w:val="clear" w:color="auto" w:fill="B5C0D8"/>
          </w:tcPr>
          <w:p w:rsidR="00976CAE" w:rsidRDefault="00112B83">
            <w:pPr>
              <w:pStyle w:val="CellHeader"/>
              <w:jc w:val="center"/>
            </w:pPr>
            <w:r>
              <w:rPr>
                <w:rFonts w:cs="Times New Roman"/>
              </w:rPr>
              <w:t>Polazna vrijednost</w:t>
            </w:r>
          </w:p>
        </w:tc>
        <w:tc>
          <w:tcPr>
            <w:tcW w:w="918" w:type="dxa"/>
            <w:shd w:val="clear" w:color="auto" w:fill="B5C0D8"/>
          </w:tcPr>
          <w:p w:rsidR="00976CAE" w:rsidRDefault="00112B83">
            <w:pPr>
              <w:pStyle w:val="CellHeader"/>
              <w:jc w:val="center"/>
            </w:pPr>
            <w:r>
              <w:rPr>
                <w:rFonts w:cs="Times New Roman"/>
              </w:rPr>
              <w:t>Izvor podataka</w:t>
            </w:r>
          </w:p>
        </w:tc>
        <w:tc>
          <w:tcPr>
            <w:tcW w:w="918" w:type="dxa"/>
            <w:shd w:val="clear" w:color="auto" w:fill="B5C0D8"/>
          </w:tcPr>
          <w:p w:rsidR="00976CAE" w:rsidRDefault="00112B83">
            <w:pPr>
              <w:pStyle w:val="CellHeader"/>
              <w:jc w:val="center"/>
            </w:pPr>
            <w:r>
              <w:rPr>
                <w:rFonts w:cs="Times New Roman"/>
              </w:rPr>
              <w:t>Ciljana vrijednost (2024.)</w:t>
            </w:r>
          </w:p>
        </w:tc>
        <w:tc>
          <w:tcPr>
            <w:tcW w:w="918" w:type="dxa"/>
            <w:shd w:val="clear" w:color="auto" w:fill="B5C0D8"/>
          </w:tcPr>
          <w:p w:rsidR="00976CAE" w:rsidRDefault="00112B83">
            <w:pPr>
              <w:pStyle w:val="CellHeader"/>
              <w:jc w:val="center"/>
            </w:pPr>
            <w:r>
              <w:rPr>
                <w:rFonts w:cs="Times New Roman"/>
              </w:rPr>
              <w:t>Ciljana vrijednost (2025.)</w:t>
            </w:r>
          </w:p>
        </w:tc>
        <w:tc>
          <w:tcPr>
            <w:tcW w:w="918" w:type="dxa"/>
            <w:shd w:val="clear" w:color="auto" w:fill="B5C0D8"/>
          </w:tcPr>
          <w:p w:rsidR="00976CAE" w:rsidRDefault="00112B83">
            <w:pPr>
              <w:pStyle w:val="CellHeader"/>
              <w:jc w:val="center"/>
            </w:pPr>
            <w:r>
              <w:rPr>
                <w:rFonts w:cs="Times New Roman"/>
              </w:rPr>
              <w:t>Ciljana vrijednost (2026.)</w:t>
            </w:r>
          </w:p>
        </w:tc>
      </w:tr>
      <w:tr w:rsidR="00976CAE">
        <w:trPr>
          <w:jc w:val="center"/>
        </w:trPr>
        <w:tc>
          <w:tcPr>
            <w:tcW w:w="2245" w:type="dxa"/>
            <w:vAlign w:val="top"/>
          </w:tcPr>
          <w:p w:rsidR="00976CAE" w:rsidRDefault="00112B83">
            <w:pPr>
              <w:pStyle w:val="CellColumn"/>
              <w:jc w:val="left"/>
            </w:pPr>
            <w:r>
              <w:rPr>
                <w:rFonts w:cs="Times New Roman"/>
              </w:rPr>
              <w:t>Postotak iskorištenosti sredstava iz mjera PRR-a SP ZPP 2023-2027</w:t>
            </w:r>
          </w:p>
        </w:tc>
        <w:tc>
          <w:tcPr>
            <w:tcW w:w="2245" w:type="dxa"/>
            <w:vAlign w:val="top"/>
          </w:tcPr>
          <w:p w:rsidR="00976CAE" w:rsidRDefault="00112B83">
            <w:pPr>
              <w:pStyle w:val="CellColumn"/>
              <w:jc w:val="left"/>
            </w:pPr>
            <w:r>
              <w:rPr>
                <w:rFonts w:cs="Times New Roman"/>
              </w:rPr>
              <w:t>Postotak isplaćene ukupne javne potpore u odnosu na alokaciju</w:t>
            </w:r>
          </w:p>
        </w:tc>
        <w:tc>
          <w:tcPr>
            <w:tcW w:w="918" w:type="dxa"/>
          </w:tcPr>
          <w:p w:rsidR="00976CAE" w:rsidRDefault="00112B83">
            <w:pPr>
              <w:jc w:val="center"/>
            </w:pPr>
            <w:r>
              <w:t>%</w:t>
            </w:r>
          </w:p>
        </w:tc>
        <w:tc>
          <w:tcPr>
            <w:tcW w:w="918" w:type="dxa"/>
          </w:tcPr>
          <w:p w:rsidR="00976CAE" w:rsidRDefault="00112B83">
            <w:pPr>
              <w:jc w:val="center"/>
            </w:pPr>
            <w:r>
              <w:t>0</w:t>
            </w:r>
          </w:p>
        </w:tc>
        <w:tc>
          <w:tcPr>
            <w:tcW w:w="918" w:type="dxa"/>
          </w:tcPr>
          <w:p w:rsidR="00976CAE" w:rsidRDefault="00112B83">
            <w:pPr>
              <w:pStyle w:val="CellColumn"/>
              <w:jc w:val="center"/>
            </w:pPr>
            <w:r>
              <w:rPr>
                <w:rFonts w:cs="Times New Roman"/>
              </w:rPr>
              <w:t>APPRRR</w:t>
            </w:r>
          </w:p>
        </w:tc>
        <w:tc>
          <w:tcPr>
            <w:tcW w:w="918" w:type="dxa"/>
          </w:tcPr>
          <w:p w:rsidR="00976CAE" w:rsidRDefault="00112B83">
            <w:pPr>
              <w:jc w:val="center"/>
            </w:pPr>
            <w:r>
              <w:t>0</w:t>
            </w:r>
          </w:p>
        </w:tc>
        <w:tc>
          <w:tcPr>
            <w:tcW w:w="918" w:type="dxa"/>
          </w:tcPr>
          <w:p w:rsidR="00976CAE" w:rsidRDefault="00112B83">
            <w:pPr>
              <w:jc w:val="center"/>
            </w:pPr>
            <w:r>
              <w:t>20</w:t>
            </w:r>
          </w:p>
        </w:tc>
        <w:tc>
          <w:tcPr>
            <w:tcW w:w="918" w:type="dxa"/>
          </w:tcPr>
          <w:p w:rsidR="00976CAE" w:rsidRDefault="00112B83">
            <w:pPr>
              <w:jc w:val="center"/>
            </w:pPr>
            <w:r>
              <w:t>40</w:t>
            </w:r>
          </w:p>
        </w:tc>
      </w:tr>
    </w:tbl>
    <w:p w:rsidR="00976CAE" w:rsidRDefault="00976CAE">
      <w:pPr>
        <w:jc w:val="left"/>
      </w:pPr>
    </w:p>
    <w:p w:rsidR="00976CAE" w:rsidRDefault="00112B83">
      <w:pPr>
        <w:pStyle w:val="Heading4"/>
      </w:pPr>
      <w:r>
        <w:t>A841005 TEHNIČKA POMOĆ - PROGRAM RURALNOG RAZVOJA</w:t>
      </w:r>
    </w:p>
    <w:p w:rsidR="00976CAE" w:rsidRDefault="00112B83">
      <w:pPr>
        <w:pStyle w:val="Heading8"/>
        <w:jc w:val="left"/>
      </w:pPr>
      <w:r>
        <w:t>Zakonske i druge pravne osnove</w:t>
      </w:r>
    </w:p>
    <w:p w:rsidR="00976CAE" w:rsidRDefault="00112B83">
      <w:r>
        <w:t xml:space="preserve">- Sporazum o načinu provedbe mjere Tehnička pomoć unutar Programa ruralnog razvoja RH za razdoblje 2014.- </w:t>
      </w:r>
    </w:p>
    <w:p w:rsidR="00976CAE" w:rsidRDefault="00112B83">
      <w:r>
        <w:t xml:space="preserve">2020 (KLASA:320-01/15-01/179); </w:t>
      </w:r>
    </w:p>
    <w:p w:rsidR="00976CAE" w:rsidRDefault="00112B83">
      <w:r>
        <w:t>- Program ruralnog razvoja 2014.-2020.</w:t>
      </w:r>
    </w:p>
    <w:tbl>
      <w:tblPr>
        <w:tblStyle w:val="StilTablice"/>
        <w:tblW w:w="10206" w:type="dxa"/>
        <w:jc w:val="center"/>
        <w:tblLook w:val="04A0" w:firstRow="1" w:lastRow="0" w:firstColumn="1" w:lastColumn="0" w:noHBand="0" w:noVBand="1"/>
      </w:tblPr>
      <w:tblGrid>
        <w:gridCol w:w="1469"/>
        <w:gridCol w:w="1563"/>
        <w:gridCol w:w="1573"/>
        <w:gridCol w:w="1573"/>
        <w:gridCol w:w="1529"/>
        <w:gridCol w:w="1529"/>
        <w:gridCol w:w="970"/>
      </w:tblGrid>
      <w:tr w:rsidR="00976CAE">
        <w:trPr>
          <w:jc w:val="center"/>
        </w:trPr>
        <w:tc>
          <w:tcPr>
            <w:tcW w:w="1530" w:type="dxa"/>
            <w:shd w:val="clear" w:color="auto" w:fill="B5C0D8"/>
          </w:tcPr>
          <w:p w:rsidR="00976CAE" w:rsidRDefault="00112B83">
            <w:pPr>
              <w:pStyle w:val="CellHeader"/>
              <w:jc w:val="center"/>
            </w:pPr>
            <w:r>
              <w:rPr>
                <w:rFonts w:cs="Times New Roman"/>
              </w:rPr>
              <w:t>Naziv aktivnosti</w:t>
            </w:r>
          </w:p>
        </w:tc>
        <w:tc>
          <w:tcPr>
            <w:tcW w:w="1632" w:type="dxa"/>
            <w:shd w:val="clear" w:color="auto" w:fill="B5C0D8"/>
          </w:tcPr>
          <w:p w:rsidR="00976CAE" w:rsidRDefault="00112B83">
            <w:pPr>
              <w:pStyle w:val="CellHeader"/>
              <w:jc w:val="center"/>
            </w:pPr>
            <w:r>
              <w:rPr>
                <w:rFonts w:cs="Times New Roman"/>
              </w:rPr>
              <w:t>Izvršenje 2022.</w:t>
            </w:r>
          </w:p>
        </w:tc>
        <w:tc>
          <w:tcPr>
            <w:tcW w:w="1632" w:type="dxa"/>
            <w:shd w:val="clear" w:color="auto" w:fill="B5C0D8"/>
          </w:tcPr>
          <w:p w:rsidR="00976CAE" w:rsidRDefault="00112B83">
            <w:pPr>
              <w:pStyle w:val="CellHeader"/>
              <w:jc w:val="center"/>
            </w:pPr>
            <w:r>
              <w:rPr>
                <w:rFonts w:cs="Times New Roman"/>
              </w:rPr>
              <w:t>Plan 2023.</w:t>
            </w:r>
          </w:p>
        </w:tc>
        <w:tc>
          <w:tcPr>
            <w:tcW w:w="1632" w:type="dxa"/>
            <w:shd w:val="clear" w:color="auto" w:fill="B5C0D8"/>
          </w:tcPr>
          <w:p w:rsidR="00976CAE" w:rsidRDefault="00112B83">
            <w:pPr>
              <w:pStyle w:val="CellHeader"/>
              <w:jc w:val="center"/>
            </w:pPr>
            <w:r>
              <w:rPr>
                <w:rFonts w:cs="Times New Roman"/>
              </w:rPr>
              <w:t>Plan 2024.</w:t>
            </w:r>
          </w:p>
        </w:tc>
        <w:tc>
          <w:tcPr>
            <w:tcW w:w="1632" w:type="dxa"/>
            <w:shd w:val="clear" w:color="auto" w:fill="B5C0D8"/>
          </w:tcPr>
          <w:p w:rsidR="00976CAE" w:rsidRDefault="00112B83">
            <w:pPr>
              <w:pStyle w:val="CellHeader"/>
              <w:jc w:val="center"/>
            </w:pPr>
            <w:r>
              <w:rPr>
                <w:rFonts w:cs="Times New Roman"/>
              </w:rPr>
              <w:t>Plan 2025.</w:t>
            </w:r>
          </w:p>
        </w:tc>
        <w:tc>
          <w:tcPr>
            <w:tcW w:w="1632" w:type="dxa"/>
            <w:shd w:val="clear" w:color="auto" w:fill="B5C0D8"/>
          </w:tcPr>
          <w:p w:rsidR="00976CAE" w:rsidRDefault="00112B83">
            <w:pPr>
              <w:pStyle w:val="CellHeader"/>
              <w:jc w:val="center"/>
            </w:pPr>
            <w:r>
              <w:rPr>
                <w:rFonts w:cs="Times New Roman"/>
              </w:rPr>
              <w:t>Plan 2026.</w:t>
            </w:r>
          </w:p>
        </w:tc>
        <w:tc>
          <w:tcPr>
            <w:tcW w:w="510" w:type="dxa"/>
            <w:shd w:val="clear" w:color="auto" w:fill="B5C0D8"/>
          </w:tcPr>
          <w:p w:rsidR="00976CAE" w:rsidRDefault="00112B83">
            <w:pPr>
              <w:pStyle w:val="CellHeader"/>
              <w:jc w:val="center"/>
            </w:pPr>
            <w:r>
              <w:rPr>
                <w:rFonts w:cs="Times New Roman"/>
              </w:rPr>
              <w:t>I</w:t>
            </w:r>
            <w:r>
              <w:rPr>
                <w:rFonts w:cs="Times New Roman"/>
              </w:rPr>
              <w:t>ndeks 2024/2023</w:t>
            </w:r>
          </w:p>
        </w:tc>
      </w:tr>
      <w:tr w:rsidR="00976CAE">
        <w:trPr>
          <w:jc w:val="center"/>
        </w:trPr>
        <w:tc>
          <w:tcPr>
            <w:tcW w:w="1530" w:type="dxa"/>
            <w:vAlign w:val="top"/>
          </w:tcPr>
          <w:p w:rsidR="00976CAE" w:rsidRDefault="00112B83">
            <w:pPr>
              <w:pStyle w:val="CellColumn"/>
              <w:jc w:val="left"/>
            </w:pPr>
            <w:r>
              <w:rPr>
                <w:rFonts w:cs="Times New Roman"/>
              </w:rPr>
              <w:t>A841005</w:t>
            </w:r>
          </w:p>
        </w:tc>
        <w:tc>
          <w:tcPr>
            <w:tcW w:w="1632" w:type="dxa"/>
            <w:vAlign w:val="top"/>
          </w:tcPr>
          <w:p w:rsidR="00976CAE" w:rsidRDefault="00112B83">
            <w:pPr>
              <w:jc w:val="right"/>
            </w:pPr>
            <w:r>
              <w:t>6.914.880</w:t>
            </w:r>
          </w:p>
        </w:tc>
        <w:tc>
          <w:tcPr>
            <w:tcW w:w="1632" w:type="dxa"/>
            <w:vAlign w:val="top"/>
          </w:tcPr>
          <w:p w:rsidR="00976CAE" w:rsidRDefault="00112B83">
            <w:pPr>
              <w:jc w:val="right"/>
            </w:pPr>
            <w:r>
              <w:t>13.125.863</w:t>
            </w:r>
          </w:p>
        </w:tc>
        <w:tc>
          <w:tcPr>
            <w:tcW w:w="1632" w:type="dxa"/>
            <w:vAlign w:val="top"/>
          </w:tcPr>
          <w:p w:rsidR="00976CAE" w:rsidRDefault="00112B83">
            <w:pPr>
              <w:jc w:val="right"/>
            </w:pPr>
            <w:r>
              <w:t>15.317.550</w:t>
            </w:r>
          </w:p>
        </w:tc>
        <w:tc>
          <w:tcPr>
            <w:tcW w:w="1632" w:type="dxa"/>
            <w:vAlign w:val="top"/>
          </w:tcPr>
          <w:p w:rsidR="00976CAE" w:rsidRDefault="00112B83">
            <w:pPr>
              <w:jc w:val="right"/>
            </w:pPr>
            <w:r>
              <w:t>00</w:t>
            </w:r>
          </w:p>
        </w:tc>
        <w:tc>
          <w:tcPr>
            <w:tcW w:w="1632" w:type="dxa"/>
            <w:vAlign w:val="top"/>
          </w:tcPr>
          <w:p w:rsidR="00976CAE" w:rsidRDefault="00112B83">
            <w:pPr>
              <w:jc w:val="right"/>
            </w:pPr>
            <w:r>
              <w:t>00</w:t>
            </w:r>
          </w:p>
        </w:tc>
        <w:tc>
          <w:tcPr>
            <w:tcW w:w="510" w:type="dxa"/>
            <w:vAlign w:val="top"/>
          </w:tcPr>
          <w:p w:rsidR="00976CAE" w:rsidRDefault="00112B83">
            <w:pPr>
              <w:jc w:val="right"/>
            </w:pPr>
            <w:r>
              <w:t>116,7</w:t>
            </w:r>
          </w:p>
        </w:tc>
      </w:tr>
    </w:tbl>
    <w:p w:rsidR="00976CAE" w:rsidRDefault="00976CAE">
      <w:pPr>
        <w:jc w:val="left"/>
      </w:pPr>
    </w:p>
    <w:p w:rsidR="00976CAE" w:rsidRDefault="00112B83">
      <w:r>
        <w:lastRenderedPageBreak/>
        <w:t xml:space="preserve">U  2024.g. APPRRR planira aktivnosti koje su direktno povezane sa provedbom programa ruralnog razvoja kroz mjeru Tehničke pomoći unutar PRR RH za razdoblje 2014.-2020. a kroz koje  bi se osiguralo: </w:t>
      </w:r>
    </w:p>
    <w:p w:rsidR="00976CAE" w:rsidRDefault="00112B83">
      <w:r>
        <w:t xml:space="preserve">- Učinkovita provedba i praćenje Programa, uključujući osnivanje odgovarajućeg sigurnog informacijskog sustava </w:t>
      </w:r>
    </w:p>
    <w:p w:rsidR="00976CAE" w:rsidRDefault="00112B83">
      <w:r>
        <w:t xml:space="preserve">- Jačanje administrativnih kapaciteta Agencije za plaćanja kroz aktivnosti usmjerene na edukaciju zaposlenika </w:t>
      </w:r>
    </w:p>
    <w:p w:rsidR="00976CAE" w:rsidRDefault="00112B83">
      <w:r>
        <w:t xml:space="preserve">  Agencije a koje uključuju treni</w:t>
      </w:r>
      <w:r>
        <w:t xml:space="preserve">nge, seminare i studijska putovanja </w:t>
      </w:r>
    </w:p>
    <w:p w:rsidR="00976CAE" w:rsidRDefault="00112B83">
      <w:r>
        <w:t xml:space="preserve">- Rješavanje operativnih uskih grla kod provedbe Programa ruralnog razvoja; </w:t>
      </w:r>
    </w:p>
    <w:p w:rsidR="00976CAE" w:rsidRDefault="00112B83">
      <w:r>
        <w:t xml:space="preserve">- Povećanje kapaciteta korisnika za pristup i korištenje PRR; </w:t>
      </w:r>
    </w:p>
    <w:p w:rsidR="00976CAE" w:rsidRDefault="00112B83">
      <w:r>
        <w:t xml:space="preserve">- Mjere za smanjenje administrativnog tereta korisnika </w:t>
      </w:r>
    </w:p>
    <w:p w:rsidR="00976CAE" w:rsidRDefault="00112B83">
      <w:r>
        <w:t>Ukupno 243 radnih mjest</w:t>
      </w:r>
      <w:r>
        <w:t>a direktno je sistematizirano na poslovima PRR RH (181 radno mjesto u Središnjem uredu i 62 radna mjesta u podružnicama.  Analizom obima posla (radnog opterećenja) utvrđeno je da u Agenciji za plaćanja nema dovoljnog broja radnika i da bi trebalo promijeni</w:t>
      </w:r>
      <w:r>
        <w:t xml:space="preserve">ti sistematizaciju rada. Naime novi ZPP postavlja nove ciljeve i mjere te procese. Kako bi se realizirali postavljeni ciljevi, nužno je mijenjati sistematizaciju rada i uskladiti je s novim potrebama. </w:t>
      </w:r>
    </w:p>
    <w:p w:rsidR="00976CAE" w:rsidRDefault="00112B83">
      <w:r>
        <w:t>Ovaj plan rađen je na temelju postojeće sistematizacij</w:t>
      </w:r>
      <w:r>
        <w:t xml:space="preserve">e rada. Sukladno potrebama, a temeljem internih akata APPRRR (Odluka ravnatelja/ice) internim premještajima rješavat će se operativna „uska grla“ u provedbi PRR RH. </w:t>
      </w:r>
    </w:p>
    <w:p w:rsidR="00976CAE" w:rsidRDefault="00112B83">
      <w:r>
        <w:t>Ukupan iznos troškova zaposlenika u 2024.g planiran je u iznosu od 7.205.806,00 EUR-a.Indi</w:t>
      </w:r>
      <w:r>
        <w:t xml:space="preserve">rektni troškovi se planiraju u iznosu od 15% na ukupno procijenjene troškove osoblja.  </w:t>
      </w:r>
    </w:p>
    <w:p w:rsidR="00976CAE" w:rsidRDefault="00112B83">
      <w:r>
        <w:t>U okviru ove aktivnosti  planirano je financiranje zakupa poslovnog prostora za rad, dio prostora Agencije, a koji koriste zaposlenici koji direktno rade na  PRR u Sred</w:t>
      </w:r>
      <w:r>
        <w:t>išnjem uredu Agencije za plaćanja. Planirano je i financiranje zakupa poslovnog prostora podružnica koje rade na PRR RH i IAKS mjerama ruralnog razvoja i to temeljem postotka koji je utvrđen kao omjer između broja zaposlenika koji rade na PRR RH i IAKS mje</w:t>
      </w:r>
      <w:r>
        <w:t xml:space="preserve">ra ruralnog razvoja i ukupnog broja zaposlenika u podružnici.  </w:t>
      </w:r>
    </w:p>
    <w:p w:rsidR="00976CAE" w:rsidRDefault="00112B83">
      <w:r>
        <w:t>U okviru jačanja kapaciteta Agencije za plaćanja i unaprjeđenja radnih uvjeta osoba koje rade na PRR RH  planirana je nabava IT i uredske opreme (poslužitelji, mrežna aktivna oprema, uređaji z</w:t>
      </w:r>
      <w:r>
        <w:t>a pohranu podataka, stolna računala, prijenosna računala, proširenje arhive, GPS uređaji, pisači za radne grupe, fotoaparati, telefoni i ostali komunikacijski uređaji, nabava i implementacija poslužitelja u podružnicama, nabava i održavanje mjernih uređaja</w:t>
      </w:r>
      <w:r>
        <w:t xml:space="preserve"> za potrebe kontrole dobrobiti životinja M14.1 i višestruku suglasnost). Također se planira i trošak održavanja informatičke opreme koja je kupljena iz sredstava TP i kojom se služe zaposlenici koji rade na PRR RH. </w:t>
      </w:r>
    </w:p>
    <w:p w:rsidR="00976CAE" w:rsidRDefault="00112B83">
      <w:r>
        <w:t>Da bi Agencija za plaćanja bila u mogućn</w:t>
      </w:r>
      <w:r>
        <w:t>osti uspostaviti distribuiranu okolinu, a ujedno i imala dovoljne kapacitete kako na primarnoj, tako i na sekundarnoj lokaciji, nužno je osigurati infrastrukturne resurse. Dio navedenih resursa, neophodan za prilagodbu sustava novom programskom razdoblju P</w:t>
      </w:r>
      <w:r>
        <w:t xml:space="preserve">RR RH 2021.-2027., financirat će se iz ove aktivnosti sukadno SP ZPP-a 2023.-2027.  </w:t>
      </w:r>
    </w:p>
    <w:p w:rsidR="00976CAE" w:rsidRDefault="00112B83">
      <w:r>
        <w:t>Osim navedenog APPRRR nastavlja s razvojem informacijskog sustava kojim ćemo omogućiti višu razinu administrativne obrade Zahtjeva korisnika kao i sa integracijom sa ostal</w:t>
      </w:r>
      <w:r>
        <w:t xml:space="preserve">im sustavima kao što je JRR, Sudski registar, Registar udruga, Registar poslovnih subjekata, Registar turističkih zajednica i sl. </w:t>
      </w:r>
    </w:p>
    <w:p w:rsidR="00976CAE" w:rsidRDefault="00112B83">
      <w:r>
        <w:t>Za IAKS mjere ruralnog razvoja razvijen je sustav praćenja višegodišnjih obveza prostorno i alfanumerički kroz registar višeg</w:t>
      </w:r>
      <w:r>
        <w:t>odišnjih obveza i izračun kršenja višegodišnjih obveza. U 2024. godini potrebne su nadogradnje sustava radi paralelnog administriranja IAKS mjera ruralnog razvoja iz Programa ruralnog razvoja Republike Hrvatske za razdoblje 2014. – 2020. kojima višegodišnj</w:t>
      </w:r>
      <w:r>
        <w:t xml:space="preserve">a obveza nije završena i IAKS intervencija ruralnog razvoja iz Strateškog plana Zajedničke poljoprivredne politike Republike Hrvatske 2023. - 2027. </w:t>
      </w:r>
    </w:p>
    <w:p w:rsidR="00976CAE" w:rsidRDefault="00112B83">
      <w:r>
        <w:t>Licence u proporcionalnom dijelu (prema sadašnjoj procijeni 30% vrijednosti), ovisno o omjeru zaposlenika k</w:t>
      </w:r>
      <w:r>
        <w:t xml:space="preserve">oji rade na mjerama RH PRR, financirat će se iz ove aktivnosti. </w:t>
      </w:r>
    </w:p>
    <w:p w:rsidR="00976CAE" w:rsidRDefault="00112B83">
      <w:r>
        <w:t>Sredstva potpore osiguravaju se iz proračuna Europske unije (85% udjela) i državnog proračuna Republike Hrvatske (15% udjela). Intenzitet potpore iznosi do 100% od ukupnih prihvatljivih trošk</w:t>
      </w:r>
      <w:r>
        <w:t>ova.</w:t>
      </w:r>
    </w:p>
    <w:p w:rsidR="00976CAE" w:rsidRDefault="00112B83">
      <w:pPr>
        <w:pStyle w:val="Heading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976CAE">
        <w:trPr>
          <w:jc w:val="center"/>
        </w:trPr>
        <w:tc>
          <w:tcPr>
            <w:tcW w:w="2245" w:type="dxa"/>
            <w:shd w:val="clear" w:color="auto" w:fill="B5C0D8"/>
          </w:tcPr>
          <w:p w:rsidR="00976CAE" w:rsidRDefault="00112B83">
            <w:pPr>
              <w:jc w:val="center"/>
            </w:pPr>
            <w:r>
              <w:t>Pokazatelj rezultata</w:t>
            </w:r>
          </w:p>
        </w:tc>
        <w:tc>
          <w:tcPr>
            <w:tcW w:w="2245" w:type="dxa"/>
            <w:shd w:val="clear" w:color="auto" w:fill="B5C0D8"/>
          </w:tcPr>
          <w:p w:rsidR="00976CAE" w:rsidRDefault="00112B83">
            <w:pPr>
              <w:pStyle w:val="CellHeader"/>
              <w:jc w:val="center"/>
            </w:pPr>
            <w:r>
              <w:rPr>
                <w:rFonts w:cs="Times New Roman"/>
              </w:rPr>
              <w:t>Definicija</w:t>
            </w:r>
          </w:p>
        </w:tc>
        <w:tc>
          <w:tcPr>
            <w:tcW w:w="918" w:type="dxa"/>
            <w:shd w:val="clear" w:color="auto" w:fill="B5C0D8"/>
          </w:tcPr>
          <w:p w:rsidR="00976CAE" w:rsidRDefault="00112B83">
            <w:pPr>
              <w:pStyle w:val="CellHeader"/>
              <w:jc w:val="center"/>
            </w:pPr>
            <w:r>
              <w:rPr>
                <w:rFonts w:cs="Times New Roman"/>
              </w:rPr>
              <w:t>Jedinica</w:t>
            </w:r>
          </w:p>
        </w:tc>
        <w:tc>
          <w:tcPr>
            <w:tcW w:w="918" w:type="dxa"/>
            <w:shd w:val="clear" w:color="auto" w:fill="B5C0D8"/>
          </w:tcPr>
          <w:p w:rsidR="00976CAE" w:rsidRDefault="00112B83">
            <w:pPr>
              <w:pStyle w:val="CellHeader"/>
              <w:jc w:val="center"/>
            </w:pPr>
            <w:r>
              <w:rPr>
                <w:rFonts w:cs="Times New Roman"/>
              </w:rPr>
              <w:t>Polazna vrijednost</w:t>
            </w:r>
          </w:p>
        </w:tc>
        <w:tc>
          <w:tcPr>
            <w:tcW w:w="918" w:type="dxa"/>
            <w:shd w:val="clear" w:color="auto" w:fill="B5C0D8"/>
          </w:tcPr>
          <w:p w:rsidR="00976CAE" w:rsidRDefault="00112B83">
            <w:pPr>
              <w:pStyle w:val="CellHeader"/>
              <w:jc w:val="center"/>
            </w:pPr>
            <w:r>
              <w:rPr>
                <w:rFonts w:cs="Times New Roman"/>
              </w:rPr>
              <w:t>Izvor podataka</w:t>
            </w:r>
          </w:p>
        </w:tc>
        <w:tc>
          <w:tcPr>
            <w:tcW w:w="918" w:type="dxa"/>
            <w:shd w:val="clear" w:color="auto" w:fill="B5C0D8"/>
          </w:tcPr>
          <w:p w:rsidR="00976CAE" w:rsidRDefault="00112B83">
            <w:pPr>
              <w:pStyle w:val="CellHeader"/>
              <w:jc w:val="center"/>
            </w:pPr>
            <w:r>
              <w:rPr>
                <w:rFonts w:cs="Times New Roman"/>
              </w:rPr>
              <w:t>Ciljana vrijednost (2024.)</w:t>
            </w:r>
          </w:p>
        </w:tc>
        <w:tc>
          <w:tcPr>
            <w:tcW w:w="918" w:type="dxa"/>
            <w:shd w:val="clear" w:color="auto" w:fill="B5C0D8"/>
          </w:tcPr>
          <w:p w:rsidR="00976CAE" w:rsidRDefault="00112B83">
            <w:pPr>
              <w:pStyle w:val="CellHeader"/>
              <w:jc w:val="center"/>
            </w:pPr>
            <w:r>
              <w:rPr>
                <w:rFonts w:cs="Times New Roman"/>
              </w:rPr>
              <w:t>Ciljana vrijednost (2025.)</w:t>
            </w:r>
          </w:p>
        </w:tc>
        <w:tc>
          <w:tcPr>
            <w:tcW w:w="918" w:type="dxa"/>
            <w:shd w:val="clear" w:color="auto" w:fill="B5C0D8"/>
          </w:tcPr>
          <w:p w:rsidR="00976CAE" w:rsidRDefault="00112B83">
            <w:pPr>
              <w:pStyle w:val="CellHeader"/>
              <w:jc w:val="center"/>
            </w:pPr>
            <w:r>
              <w:rPr>
                <w:rFonts w:cs="Times New Roman"/>
              </w:rPr>
              <w:t>Ciljana vrijednost (2026.)</w:t>
            </w:r>
          </w:p>
        </w:tc>
      </w:tr>
      <w:tr w:rsidR="00976CAE">
        <w:trPr>
          <w:jc w:val="center"/>
        </w:trPr>
        <w:tc>
          <w:tcPr>
            <w:tcW w:w="2245" w:type="dxa"/>
            <w:vAlign w:val="top"/>
          </w:tcPr>
          <w:p w:rsidR="00976CAE" w:rsidRDefault="00112B83">
            <w:pPr>
              <w:pStyle w:val="CellColumn"/>
              <w:jc w:val="left"/>
            </w:pPr>
            <w:r>
              <w:rPr>
                <w:rFonts w:cs="Times New Roman"/>
              </w:rPr>
              <w:lastRenderedPageBreak/>
              <w:t>Postotak izvršenja planiranog PRR RH 2014-2020</w:t>
            </w:r>
          </w:p>
        </w:tc>
        <w:tc>
          <w:tcPr>
            <w:tcW w:w="2245" w:type="dxa"/>
            <w:vAlign w:val="top"/>
          </w:tcPr>
          <w:p w:rsidR="00976CAE" w:rsidRDefault="00112B83">
            <w:pPr>
              <w:pStyle w:val="CellColumn"/>
              <w:jc w:val="left"/>
            </w:pPr>
            <w:r>
              <w:rPr>
                <w:rFonts w:cs="Times New Roman"/>
              </w:rPr>
              <w:t>Iskorištena sredstva u odnosu na godišnji plan</w:t>
            </w:r>
          </w:p>
        </w:tc>
        <w:tc>
          <w:tcPr>
            <w:tcW w:w="918" w:type="dxa"/>
          </w:tcPr>
          <w:p w:rsidR="00976CAE" w:rsidRDefault="00112B83">
            <w:pPr>
              <w:jc w:val="center"/>
            </w:pPr>
            <w:r>
              <w:t>%</w:t>
            </w:r>
          </w:p>
        </w:tc>
        <w:tc>
          <w:tcPr>
            <w:tcW w:w="918" w:type="dxa"/>
          </w:tcPr>
          <w:p w:rsidR="00976CAE" w:rsidRDefault="00112B83">
            <w:pPr>
              <w:jc w:val="center"/>
            </w:pPr>
            <w:r>
              <w:t>91</w:t>
            </w:r>
          </w:p>
        </w:tc>
        <w:tc>
          <w:tcPr>
            <w:tcW w:w="918" w:type="dxa"/>
          </w:tcPr>
          <w:p w:rsidR="00976CAE" w:rsidRDefault="00112B83">
            <w:pPr>
              <w:pStyle w:val="CellColumn"/>
              <w:jc w:val="center"/>
            </w:pPr>
            <w:r>
              <w:rPr>
                <w:rFonts w:cs="Times New Roman"/>
              </w:rPr>
              <w:t>APPRRR</w:t>
            </w:r>
          </w:p>
        </w:tc>
        <w:tc>
          <w:tcPr>
            <w:tcW w:w="918" w:type="dxa"/>
          </w:tcPr>
          <w:p w:rsidR="00976CAE" w:rsidRDefault="00112B83">
            <w:pPr>
              <w:jc w:val="center"/>
            </w:pPr>
            <w:r>
              <w:t>100</w:t>
            </w:r>
          </w:p>
        </w:tc>
        <w:tc>
          <w:tcPr>
            <w:tcW w:w="918" w:type="dxa"/>
          </w:tcPr>
          <w:p w:rsidR="00976CAE" w:rsidRDefault="00112B83">
            <w:pPr>
              <w:jc w:val="center"/>
            </w:pPr>
            <w:r>
              <w:t>0</w:t>
            </w:r>
          </w:p>
        </w:tc>
        <w:tc>
          <w:tcPr>
            <w:tcW w:w="918" w:type="dxa"/>
          </w:tcPr>
          <w:p w:rsidR="00976CAE" w:rsidRDefault="00112B83">
            <w:pPr>
              <w:jc w:val="center"/>
            </w:pPr>
            <w:r>
              <w:t>0</w:t>
            </w:r>
          </w:p>
        </w:tc>
      </w:tr>
    </w:tbl>
    <w:p w:rsidR="00976CAE" w:rsidRDefault="00976CAE">
      <w:pPr>
        <w:jc w:val="left"/>
      </w:pPr>
    </w:p>
    <w:p w:rsidR="00976CAE" w:rsidRDefault="00112B83">
      <w:pPr>
        <w:pStyle w:val="Heading4"/>
      </w:pPr>
      <w:r>
        <w:t>A841011 TEHNIČKA POMOĆ - SP ZPP 2023.-2027.</w:t>
      </w:r>
    </w:p>
    <w:p w:rsidR="00976CAE" w:rsidRDefault="00112B83">
      <w:pPr>
        <w:pStyle w:val="Heading8"/>
        <w:jc w:val="left"/>
      </w:pPr>
      <w:r>
        <w:t>Zakonske i druge pravne osnove</w:t>
      </w:r>
    </w:p>
    <w:p w:rsidR="00976CAE" w:rsidRDefault="00112B83">
      <w:r>
        <w:t>Strateški plan Zajedičke poljoprivredne politike republike Hrvatske 2023-2030</w:t>
      </w:r>
    </w:p>
    <w:tbl>
      <w:tblPr>
        <w:tblStyle w:val="StilTablice"/>
        <w:tblW w:w="10206" w:type="dxa"/>
        <w:jc w:val="center"/>
        <w:tblLook w:val="04A0" w:firstRow="1" w:lastRow="0" w:firstColumn="1" w:lastColumn="0" w:noHBand="0" w:noVBand="1"/>
      </w:tblPr>
      <w:tblGrid>
        <w:gridCol w:w="1470"/>
        <w:gridCol w:w="1558"/>
        <w:gridCol w:w="1531"/>
        <w:gridCol w:w="1531"/>
        <w:gridCol w:w="1573"/>
        <w:gridCol w:w="1573"/>
        <w:gridCol w:w="970"/>
      </w:tblGrid>
      <w:tr w:rsidR="00976CAE">
        <w:trPr>
          <w:jc w:val="center"/>
        </w:trPr>
        <w:tc>
          <w:tcPr>
            <w:tcW w:w="1530" w:type="dxa"/>
            <w:shd w:val="clear" w:color="auto" w:fill="B5C0D8"/>
          </w:tcPr>
          <w:p w:rsidR="00976CAE" w:rsidRDefault="00112B83">
            <w:pPr>
              <w:pStyle w:val="CellHeader"/>
              <w:jc w:val="center"/>
            </w:pPr>
            <w:r>
              <w:rPr>
                <w:rFonts w:cs="Times New Roman"/>
              </w:rPr>
              <w:t>Naziv aktivnosti</w:t>
            </w:r>
          </w:p>
        </w:tc>
        <w:tc>
          <w:tcPr>
            <w:tcW w:w="1632" w:type="dxa"/>
            <w:shd w:val="clear" w:color="auto" w:fill="B5C0D8"/>
          </w:tcPr>
          <w:p w:rsidR="00976CAE" w:rsidRDefault="00112B83">
            <w:pPr>
              <w:pStyle w:val="CellHeader"/>
              <w:jc w:val="center"/>
            </w:pPr>
            <w:r>
              <w:rPr>
                <w:rFonts w:cs="Times New Roman"/>
              </w:rPr>
              <w:t>Izvršenje 2022.</w:t>
            </w:r>
          </w:p>
        </w:tc>
        <w:tc>
          <w:tcPr>
            <w:tcW w:w="1632" w:type="dxa"/>
            <w:shd w:val="clear" w:color="auto" w:fill="B5C0D8"/>
          </w:tcPr>
          <w:p w:rsidR="00976CAE" w:rsidRDefault="00112B83">
            <w:pPr>
              <w:pStyle w:val="CellHeader"/>
              <w:jc w:val="center"/>
            </w:pPr>
            <w:r>
              <w:rPr>
                <w:rFonts w:cs="Times New Roman"/>
              </w:rPr>
              <w:t>Plan 2023.</w:t>
            </w:r>
          </w:p>
        </w:tc>
        <w:tc>
          <w:tcPr>
            <w:tcW w:w="1632" w:type="dxa"/>
            <w:shd w:val="clear" w:color="auto" w:fill="B5C0D8"/>
          </w:tcPr>
          <w:p w:rsidR="00976CAE" w:rsidRDefault="00112B83">
            <w:pPr>
              <w:pStyle w:val="CellHeader"/>
              <w:jc w:val="center"/>
            </w:pPr>
            <w:r>
              <w:rPr>
                <w:rFonts w:cs="Times New Roman"/>
              </w:rPr>
              <w:t>Plan 2024.</w:t>
            </w:r>
          </w:p>
        </w:tc>
        <w:tc>
          <w:tcPr>
            <w:tcW w:w="1632" w:type="dxa"/>
            <w:shd w:val="clear" w:color="auto" w:fill="B5C0D8"/>
          </w:tcPr>
          <w:p w:rsidR="00976CAE" w:rsidRDefault="00112B83">
            <w:pPr>
              <w:pStyle w:val="CellHeader"/>
              <w:jc w:val="center"/>
            </w:pPr>
            <w:r>
              <w:rPr>
                <w:rFonts w:cs="Times New Roman"/>
              </w:rPr>
              <w:t>Plan 2025.</w:t>
            </w:r>
          </w:p>
        </w:tc>
        <w:tc>
          <w:tcPr>
            <w:tcW w:w="1632" w:type="dxa"/>
            <w:shd w:val="clear" w:color="auto" w:fill="B5C0D8"/>
          </w:tcPr>
          <w:p w:rsidR="00976CAE" w:rsidRDefault="00112B83">
            <w:pPr>
              <w:pStyle w:val="CellHeader"/>
              <w:jc w:val="center"/>
            </w:pPr>
            <w:r>
              <w:rPr>
                <w:rFonts w:cs="Times New Roman"/>
              </w:rPr>
              <w:t>Plan 2026.</w:t>
            </w:r>
          </w:p>
        </w:tc>
        <w:tc>
          <w:tcPr>
            <w:tcW w:w="510" w:type="dxa"/>
            <w:shd w:val="clear" w:color="auto" w:fill="B5C0D8"/>
          </w:tcPr>
          <w:p w:rsidR="00976CAE" w:rsidRDefault="00112B83">
            <w:pPr>
              <w:pStyle w:val="CellHeader"/>
              <w:jc w:val="center"/>
            </w:pPr>
            <w:r>
              <w:rPr>
                <w:rFonts w:cs="Times New Roman"/>
              </w:rPr>
              <w:t>Indeks 2024/2023</w:t>
            </w:r>
          </w:p>
        </w:tc>
      </w:tr>
      <w:tr w:rsidR="00976CAE">
        <w:trPr>
          <w:jc w:val="center"/>
        </w:trPr>
        <w:tc>
          <w:tcPr>
            <w:tcW w:w="1530" w:type="dxa"/>
            <w:vAlign w:val="top"/>
          </w:tcPr>
          <w:p w:rsidR="00976CAE" w:rsidRDefault="00112B83">
            <w:pPr>
              <w:pStyle w:val="CellColumn"/>
              <w:jc w:val="left"/>
            </w:pPr>
            <w:r>
              <w:rPr>
                <w:rFonts w:cs="Times New Roman"/>
              </w:rPr>
              <w:t>A841011</w:t>
            </w:r>
          </w:p>
        </w:tc>
        <w:tc>
          <w:tcPr>
            <w:tcW w:w="1632" w:type="dxa"/>
            <w:vAlign w:val="top"/>
          </w:tcPr>
          <w:p w:rsidR="00976CAE" w:rsidRDefault="00112B83">
            <w:pPr>
              <w:jc w:val="right"/>
            </w:pPr>
            <w:r>
              <w:t>00</w:t>
            </w:r>
          </w:p>
        </w:tc>
        <w:tc>
          <w:tcPr>
            <w:tcW w:w="1632" w:type="dxa"/>
            <w:vAlign w:val="top"/>
          </w:tcPr>
          <w:p w:rsidR="00976CAE" w:rsidRDefault="00112B83">
            <w:pPr>
              <w:jc w:val="right"/>
            </w:pPr>
            <w:r>
              <w:t>00</w:t>
            </w:r>
          </w:p>
        </w:tc>
        <w:tc>
          <w:tcPr>
            <w:tcW w:w="1632" w:type="dxa"/>
            <w:vAlign w:val="top"/>
          </w:tcPr>
          <w:p w:rsidR="00976CAE" w:rsidRDefault="00112B83">
            <w:pPr>
              <w:jc w:val="right"/>
            </w:pPr>
            <w:r>
              <w:t>00</w:t>
            </w:r>
          </w:p>
        </w:tc>
        <w:tc>
          <w:tcPr>
            <w:tcW w:w="1632" w:type="dxa"/>
            <w:vAlign w:val="top"/>
          </w:tcPr>
          <w:p w:rsidR="00976CAE" w:rsidRDefault="00112B83">
            <w:pPr>
              <w:jc w:val="right"/>
            </w:pPr>
            <w:r>
              <w:t>15.434.500</w:t>
            </w:r>
          </w:p>
        </w:tc>
        <w:tc>
          <w:tcPr>
            <w:tcW w:w="1632" w:type="dxa"/>
            <w:vAlign w:val="top"/>
          </w:tcPr>
          <w:p w:rsidR="00976CAE" w:rsidRDefault="00112B83">
            <w:pPr>
              <w:jc w:val="right"/>
            </w:pPr>
            <w:r>
              <w:t>15.034.500</w:t>
            </w:r>
          </w:p>
        </w:tc>
        <w:tc>
          <w:tcPr>
            <w:tcW w:w="510" w:type="dxa"/>
            <w:vAlign w:val="top"/>
          </w:tcPr>
          <w:p w:rsidR="00976CAE" w:rsidRDefault="00112B83">
            <w:pPr>
              <w:jc w:val="right"/>
            </w:pPr>
            <w:r>
              <w:t>0,0</w:t>
            </w:r>
          </w:p>
        </w:tc>
      </w:tr>
    </w:tbl>
    <w:p w:rsidR="00976CAE" w:rsidRDefault="00976CAE">
      <w:pPr>
        <w:jc w:val="left"/>
      </w:pPr>
    </w:p>
    <w:p w:rsidR="00976CAE" w:rsidRDefault="00112B83">
      <w:r>
        <w:t>Cilj ispunjavanja planiranih aktivnosti provedbe Tehničke pomoći (TP), odnosno širokog raspona aktivnosti povezanih s intervencijama u području poljoprivrede i ruralnog razvoja, jest jačanje kapaciteta za provedbu SP ZPP-a, uključujući i rješavanje prigovo</w:t>
      </w:r>
      <w:r>
        <w:t>ra, unaprjeđenje funkcionalnosti elektroničkoginformacijskog sustava za mjerenje uspješnosti provedbe SP ZPP (podrazumijeva poboljšanje provedbe, praćenja, vrednovanja), informiranje i komunikacija, smanjenje administrativnog opterećenja za korisnike i sus</w:t>
      </w:r>
      <w:r>
        <w:t xml:space="preserve">tav te uspostava i rad Nacionalne mreže Zajedničke poljoprivredne politike uključujući i aktivnosti prijenosa znanja i inovacija u poljoprivredi unutar sustava znanja i inovacija u poljoprivredi (AKIS). </w:t>
      </w:r>
    </w:p>
    <w:p w:rsidR="00976CAE" w:rsidRDefault="00112B83">
      <w:r>
        <w:t>Navedeni sustav provedbe SP ZPP-a omogućit će Agenci</w:t>
      </w:r>
      <w:r>
        <w:t>ji za plaćanja u poljoprivredi, ribarstvu i ruralnom razvoju transparentno informiranje i dodjelu sredstava korisnicima, a sve u skladu s aktivnostima iz nacionalne Strategije sprečavanja korupcije za razdoblje od 2021. do 2030. čija je provedba u nadležno</w:t>
      </w:r>
      <w:r>
        <w:t xml:space="preserve">sti svih državnih tijela. </w:t>
      </w:r>
    </w:p>
    <w:p w:rsidR="00976CAE" w:rsidRDefault="00112B83">
      <w:r>
        <w:t xml:space="preserve">Predviđena su sredstva za aktivnosti TP u iznosu od maksimalno 4% ukupnog doprinosa iz EPFRR-a za  </w:t>
      </w:r>
    </w:p>
    <w:p w:rsidR="00976CAE" w:rsidRDefault="00112B83">
      <w:r>
        <w:t xml:space="preserve">strateški plan u okviru ZPP-a. </w:t>
      </w:r>
    </w:p>
    <w:p w:rsidR="00976CAE" w:rsidRDefault="00112B83">
      <w:r>
        <w:t xml:space="preserve">Planirano je korištenje TP kroz sljedeće aktivnosti: </w:t>
      </w:r>
    </w:p>
    <w:p w:rsidR="00976CAE" w:rsidRDefault="00112B83">
      <w:r>
        <w:t>1. Aktivnosti informiranja i promidžbe SP Z</w:t>
      </w:r>
      <w:r>
        <w:t xml:space="preserve">PP-a te aktivnosti za jačanje kapaciteta korisnika za pristup i i korištenje SP ZPP-a. </w:t>
      </w:r>
    </w:p>
    <w:p w:rsidR="00976CAE" w:rsidRDefault="00112B83">
      <w:r>
        <w:t xml:space="preserve">2. Aktivnosti usmjerene na jačanje administrativnih kapaciteta UT i AP te aktivnosti za rješavanje  </w:t>
      </w:r>
    </w:p>
    <w:p w:rsidR="00976CAE" w:rsidRDefault="00112B83">
      <w:r>
        <w:t>operativnih uskih grla u upravljanju SP ZPP-om i smanjenja administ</w:t>
      </w:r>
      <w:r>
        <w:t xml:space="preserve">rativnog opterećenja korisnika.Prihvatljivi su troškovi redovnih aktivnosti navedenih institucija/ustrojstvenih jedinica/radnih mjesta koje  </w:t>
      </w:r>
    </w:p>
    <w:p w:rsidR="00976CAE" w:rsidRDefault="00112B83">
      <w:r>
        <w:t xml:space="preserve">čine operativnu strukturu provedbe SP ZPP-a, kao i troškovi najma, održavanja, unaprjeđenja i opremanja  </w:t>
      </w:r>
    </w:p>
    <w:p w:rsidR="00976CAE" w:rsidRDefault="00112B83">
      <w:r>
        <w:t>njihovih</w:t>
      </w:r>
      <w:r>
        <w:t xml:space="preserve"> radnih prostora, aktivnosti za rješavanje operativnih uskih grla i unaprjeđenje u upravljanju,  </w:t>
      </w:r>
    </w:p>
    <w:p w:rsidR="00976CAE" w:rsidRDefault="00112B83">
      <w:r>
        <w:t xml:space="preserve">provedbi i kontroli SP ZPP-a te aktivnosti za smanjenje administrativnog opterećenja korisnika.  </w:t>
      </w:r>
    </w:p>
    <w:p w:rsidR="00976CAE" w:rsidRDefault="00112B83">
      <w:r>
        <w:t>3.  Aktivnosti potrebne za osiguranje učinkovitog i sigurnog</w:t>
      </w:r>
      <w:r>
        <w:t xml:space="preserve"> informacijskog sustava u svrhu provedbe,  </w:t>
      </w:r>
    </w:p>
    <w:p w:rsidR="00976CAE" w:rsidRDefault="00112B83">
      <w:r>
        <w:t xml:space="preserve">praćenja i vrednovanja SP ZPP-a </w:t>
      </w:r>
    </w:p>
    <w:p w:rsidR="00976CAE" w:rsidRDefault="00112B83">
      <w:r>
        <w:t xml:space="preserve">Prihvatljivo je financiranje aktivnosti koje doprinose uspostavi odgovarajućeg informacijskog sustava za  </w:t>
      </w:r>
    </w:p>
    <w:p w:rsidR="00976CAE" w:rsidRDefault="00112B83">
      <w:r>
        <w:t xml:space="preserve">praćenje, evidentiranje, upravljanje i izvještavanje o napretku provedbe SP ZPP-a, a to su: </w:t>
      </w:r>
    </w:p>
    <w:p w:rsidR="00976CAE" w:rsidRDefault="00112B83">
      <w:r>
        <w:t xml:space="preserve">- izrada i unaprjeđenje/nadogradnja/održavanje softverskih sustava i aplikacija praćenja i evidentiranja  </w:t>
      </w:r>
    </w:p>
    <w:p w:rsidR="00976CAE" w:rsidRDefault="00112B83">
      <w:r>
        <w:t xml:space="preserve">različitih aspekata provedbe SP ZPP-a </w:t>
      </w:r>
    </w:p>
    <w:p w:rsidR="00976CAE" w:rsidRDefault="00112B83">
      <w:r>
        <w:t xml:space="preserve">HR 265 HR </w:t>
      </w:r>
    </w:p>
    <w:p w:rsidR="00976CAE" w:rsidRDefault="00112B83">
      <w:r>
        <w:t xml:space="preserve">-  unaprjeđenje/nadogradnja i održavanje drugih softverskih sustava povezanih s pripremom, provedbom,  </w:t>
      </w:r>
    </w:p>
    <w:p w:rsidR="00976CAE" w:rsidRDefault="00112B83">
      <w:r>
        <w:t xml:space="preserve">praćenjem i vrednovanjem SP ZPP-a </w:t>
      </w:r>
    </w:p>
    <w:p w:rsidR="00976CAE" w:rsidRDefault="00112B83">
      <w:r>
        <w:t xml:space="preserve">- nabava hardverskih komponenti i licenci potrebnih za funkcioniranje softverskih sustava. </w:t>
      </w:r>
    </w:p>
    <w:p w:rsidR="00976CAE" w:rsidRDefault="00112B83">
      <w:r>
        <w:lastRenderedPageBreak/>
        <w:t>Od 2025.g. RH se odlučila</w:t>
      </w:r>
      <w:r>
        <w:t xml:space="preserve"> na korištenje TP iz SP ZPP na 100% EAFRD sredstva, bez nacionalnog sufinanciranja. Prema odobrenom SP ZPP RH 2023.-2027., stopa (flat rate) za TP u SP ZPP RH iznosi 3,43% (50 mil. EUR) i obračunavat će se na svaku izjavu o rashodima koju RH podnese prema </w:t>
      </w:r>
      <w:r>
        <w:t>EK. Od 2025. godine Tehnička pomoć će se financirati prema stopi od 4%.</w:t>
      </w:r>
    </w:p>
    <w:p w:rsidR="00976CAE" w:rsidRDefault="00112B83">
      <w:pPr>
        <w:pStyle w:val="Heading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976CAE">
        <w:trPr>
          <w:jc w:val="center"/>
        </w:trPr>
        <w:tc>
          <w:tcPr>
            <w:tcW w:w="2245" w:type="dxa"/>
            <w:shd w:val="clear" w:color="auto" w:fill="B5C0D8"/>
          </w:tcPr>
          <w:p w:rsidR="00976CAE" w:rsidRDefault="00112B83">
            <w:pPr>
              <w:jc w:val="center"/>
            </w:pPr>
            <w:r>
              <w:t>Pokazatelj rezultata</w:t>
            </w:r>
          </w:p>
        </w:tc>
        <w:tc>
          <w:tcPr>
            <w:tcW w:w="2245" w:type="dxa"/>
            <w:shd w:val="clear" w:color="auto" w:fill="B5C0D8"/>
          </w:tcPr>
          <w:p w:rsidR="00976CAE" w:rsidRDefault="00112B83">
            <w:pPr>
              <w:pStyle w:val="CellHeader"/>
              <w:jc w:val="center"/>
            </w:pPr>
            <w:r>
              <w:rPr>
                <w:rFonts w:cs="Times New Roman"/>
              </w:rPr>
              <w:t>Definicija</w:t>
            </w:r>
          </w:p>
        </w:tc>
        <w:tc>
          <w:tcPr>
            <w:tcW w:w="918" w:type="dxa"/>
            <w:shd w:val="clear" w:color="auto" w:fill="B5C0D8"/>
          </w:tcPr>
          <w:p w:rsidR="00976CAE" w:rsidRDefault="00112B83">
            <w:pPr>
              <w:pStyle w:val="CellHeader"/>
              <w:jc w:val="center"/>
            </w:pPr>
            <w:r>
              <w:rPr>
                <w:rFonts w:cs="Times New Roman"/>
              </w:rPr>
              <w:t>Jedinica</w:t>
            </w:r>
          </w:p>
        </w:tc>
        <w:tc>
          <w:tcPr>
            <w:tcW w:w="918" w:type="dxa"/>
            <w:shd w:val="clear" w:color="auto" w:fill="B5C0D8"/>
          </w:tcPr>
          <w:p w:rsidR="00976CAE" w:rsidRDefault="00112B83">
            <w:pPr>
              <w:pStyle w:val="CellHeader"/>
              <w:jc w:val="center"/>
            </w:pPr>
            <w:r>
              <w:rPr>
                <w:rFonts w:cs="Times New Roman"/>
              </w:rPr>
              <w:t>Polazna vrijednost</w:t>
            </w:r>
          </w:p>
        </w:tc>
        <w:tc>
          <w:tcPr>
            <w:tcW w:w="918" w:type="dxa"/>
            <w:shd w:val="clear" w:color="auto" w:fill="B5C0D8"/>
          </w:tcPr>
          <w:p w:rsidR="00976CAE" w:rsidRDefault="00112B83">
            <w:pPr>
              <w:pStyle w:val="CellHeader"/>
              <w:jc w:val="center"/>
            </w:pPr>
            <w:r>
              <w:rPr>
                <w:rFonts w:cs="Times New Roman"/>
              </w:rPr>
              <w:t>Izvor podataka</w:t>
            </w:r>
          </w:p>
        </w:tc>
        <w:tc>
          <w:tcPr>
            <w:tcW w:w="918" w:type="dxa"/>
            <w:shd w:val="clear" w:color="auto" w:fill="B5C0D8"/>
          </w:tcPr>
          <w:p w:rsidR="00976CAE" w:rsidRDefault="00112B83">
            <w:pPr>
              <w:pStyle w:val="CellHeader"/>
              <w:jc w:val="center"/>
            </w:pPr>
            <w:r>
              <w:rPr>
                <w:rFonts w:cs="Times New Roman"/>
              </w:rPr>
              <w:t>Ciljana vrijednost (2024.)</w:t>
            </w:r>
          </w:p>
        </w:tc>
        <w:tc>
          <w:tcPr>
            <w:tcW w:w="918" w:type="dxa"/>
            <w:shd w:val="clear" w:color="auto" w:fill="B5C0D8"/>
          </w:tcPr>
          <w:p w:rsidR="00976CAE" w:rsidRDefault="00112B83">
            <w:pPr>
              <w:pStyle w:val="CellHeader"/>
              <w:jc w:val="center"/>
            </w:pPr>
            <w:r>
              <w:rPr>
                <w:rFonts w:cs="Times New Roman"/>
              </w:rPr>
              <w:t>Ciljana vrijednost (2025.)</w:t>
            </w:r>
          </w:p>
        </w:tc>
        <w:tc>
          <w:tcPr>
            <w:tcW w:w="918" w:type="dxa"/>
            <w:shd w:val="clear" w:color="auto" w:fill="B5C0D8"/>
          </w:tcPr>
          <w:p w:rsidR="00976CAE" w:rsidRDefault="00112B83">
            <w:pPr>
              <w:pStyle w:val="CellHeader"/>
              <w:jc w:val="center"/>
            </w:pPr>
            <w:r>
              <w:rPr>
                <w:rFonts w:cs="Times New Roman"/>
              </w:rPr>
              <w:t>Ciljana vrijednost (2026.)</w:t>
            </w:r>
          </w:p>
        </w:tc>
      </w:tr>
      <w:tr w:rsidR="00976CAE">
        <w:trPr>
          <w:jc w:val="center"/>
        </w:trPr>
        <w:tc>
          <w:tcPr>
            <w:tcW w:w="2245" w:type="dxa"/>
            <w:vAlign w:val="top"/>
          </w:tcPr>
          <w:p w:rsidR="00976CAE" w:rsidRDefault="00112B83">
            <w:pPr>
              <w:pStyle w:val="CellColumn"/>
              <w:jc w:val="left"/>
            </w:pPr>
            <w:r>
              <w:rPr>
                <w:rFonts w:cs="Times New Roman"/>
              </w:rPr>
              <w:t>Postotak izvršenja planiranoh SP ZPP 2023-2027</w:t>
            </w:r>
          </w:p>
        </w:tc>
        <w:tc>
          <w:tcPr>
            <w:tcW w:w="2245" w:type="dxa"/>
            <w:vAlign w:val="top"/>
          </w:tcPr>
          <w:p w:rsidR="00976CAE" w:rsidRDefault="00112B83">
            <w:pPr>
              <w:pStyle w:val="CellColumn"/>
              <w:jc w:val="left"/>
            </w:pPr>
            <w:r>
              <w:rPr>
                <w:rFonts w:cs="Times New Roman"/>
              </w:rPr>
              <w:t>Postotak izvršenja unutar dodijeljene kvote od 4% za APPRRR</w:t>
            </w:r>
          </w:p>
        </w:tc>
        <w:tc>
          <w:tcPr>
            <w:tcW w:w="918" w:type="dxa"/>
          </w:tcPr>
          <w:p w:rsidR="00976CAE" w:rsidRDefault="00112B83">
            <w:pPr>
              <w:jc w:val="center"/>
            </w:pPr>
            <w:r>
              <w:t>%</w:t>
            </w:r>
          </w:p>
        </w:tc>
        <w:tc>
          <w:tcPr>
            <w:tcW w:w="918" w:type="dxa"/>
          </w:tcPr>
          <w:p w:rsidR="00976CAE" w:rsidRDefault="00112B83">
            <w:pPr>
              <w:jc w:val="center"/>
            </w:pPr>
            <w:r>
              <w:t>0</w:t>
            </w:r>
          </w:p>
        </w:tc>
        <w:tc>
          <w:tcPr>
            <w:tcW w:w="918" w:type="dxa"/>
          </w:tcPr>
          <w:p w:rsidR="00976CAE" w:rsidRDefault="00112B83">
            <w:pPr>
              <w:pStyle w:val="CellColumn"/>
              <w:jc w:val="center"/>
            </w:pPr>
            <w:r>
              <w:rPr>
                <w:rFonts w:cs="Times New Roman"/>
              </w:rPr>
              <w:t>APPRRR</w:t>
            </w:r>
          </w:p>
        </w:tc>
        <w:tc>
          <w:tcPr>
            <w:tcW w:w="918" w:type="dxa"/>
          </w:tcPr>
          <w:p w:rsidR="00976CAE" w:rsidRDefault="00112B83">
            <w:pPr>
              <w:jc w:val="center"/>
            </w:pPr>
            <w:r>
              <w:t>0</w:t>
            </w:r>
          </w:p>
        </w:tc>
        <w:tc>
          <w:tcPr>
            <w:tcW w:w="918" w:type="dxa"/>
          </w:tcPr>
          <w:p w:rsidR="00976CAE" w:rsidRDefault="00112B83">
            <w:pPr>
              <w:jc w:val="center"/>
            </w:pPr>
            <w:r>
              <w:t>100</w:t>
            </w:r>
          </w:p>
        </w:tc>
        <w:tc>
          <w:tcPr>
            <w:tcW w:w="918" w:type="dxa"/>
          </w:tcPr>
          <w:p w:rsidR="00976CAE" w:rsidRDefault="00112B83">
            <w:pPr>
              <w:jc w:val="center"/>
            </w:pPr>
            <w:r>
              <w:t>100</w:t>
            </w:r>
          </w:p>
        </w:tc>
      </w:tr>
    </w:tbl>
    <w:p w:rsidR="00976CAE" w:rsidRDefault="00976CAE">
      <w:pPr>
        <w:jc w:val="left"/>
      </w:pPr>
    </w:p>
    <w:p w:rsidR="00976CAE" w:rsidRDefault="00112B83">
      <w:pPr>
        <w:pStyle w:val="Heading3"/>
      </w:pPr>
      <w:r>
        <w:rPr>
          <w:rFonts w:cs="Times New Roman"/>
        </w:rPr>
        <w:t>3005 RIBARSTVO</w:t>
      </w:r>
    </w:p>
    <w:tbl>
      <w:tblPr>
        <w:tblStyle w:val="StilTablice"/>
        <w:tblW w:w="10206" w:type="dxa"/>
        <w:jc w:val="center"/>
        <w:tblLook w:val="04A0" w:firstRow="1" w:lastRow="0" w:firstColumn="1" w:lastColumn="0" w:noHBand="0" w:noVBand="1"/>
      </w:tblPr>
      <w:tblGrid>
        <w:gridCol w:w="1444"/>
        <w:gridCol w:w="1564"/>
        <w:gridCol w:w="1557"/>
        <w:gridCol w:w="1557"/>
        <w:gridCol w:w="1557"/>
        <w:gridCol w:w="1557"/>
        <w:gridCol w:w="970"/>
      </w:tblGrid>
      <w:tr w:rsidR="00976CAE">
        <w:trPr>
          <w:jc w:val="center"/>
        </w:trPr>
        <w:tc>
          <w:tcPr>
            <w:tcW w:w="1530" w:type="dxa"/>
            <w:shd w:val="clear" w:color="auto" w:fill="B5C0D8"/>
          </w:tcPr>
          <w:p w:rsidR="00976CAE" w:rsidRDefault="00976CAE">
            <w:pPr>
              <w:pStyle w:val="CellHeader"/>
              <w:jc w:val="center"/>
            </w:pPr>
          </w:p>
        </w:tc>
        <w:tc>
          <w:tcPr>
            <w:tcW w:w="1632" w:type="dxa"/>
            <w:shd w:val="clear" w:color="auto" w:fill="B5C0D8"/>
          </w:tcPr>
          <w:p w:rsidR="00976CAE" w:rsidRDefault="00112B83">
            <w:pPr>
              <w:pStyle w:val="CellHeader"/>
              <w:jc w:val="center"/>
            </w:pPr>
            <w:r>
              <w:rPr>
                <w:rFonts w:cs="Times New Roman"/>
              </w:rPr>
              <w:t>Izvršenje 2022.</w:t>
            </w:r>
          </w:p>
        </w:tc>
        <w:tc>
          <w:tcPr>
            <w:tcW w:w="1632" w:type="dxa"/>
            <w:shd w:val="clear" w:color="auto" w:fill="B5C0D8"/>
          </w:tcPr>
          <w:p w:rsidR="00976CAE" w:rsidRDefault="00112B83">
            <w:pPr>
              <w:pStyle w:val="CellHeader"/>
              <w:jc w:val="center"/>
            </w:pPr>
            <w:r>
              <w:rPr>
                <w:rFonts w:cs="Times New Roman"/>
              </w:rPr>
              <w:t>Plan 2023.</w:t>
            </w:r>
          </w:p>
        </w:tc>
        <w:tc>
          <w:tcPr>
            <w:tcW w:w="1632" w:type="dxa"/>
            <w:shd w:val="clear" w:color="auto" w:fill="B5C0D8"/>
          </w:tcPr>
          <w:p w:rsidR="00976CAE" w:rsidRDefault="00112B83">
            <w:pPr>
              <w:pStyle w:val="CellHeader"/>
              <w:jc w:val="center"/>
            </w:pPr>
            <w:r>
              <w:rPr>
                <w:rFonts w:cs="Times New Roman"/>
              </w:rPr>
              <w:t>Plan 2024.</w:t>
            </w:r>
          </w:p>
        </w:tc>
        <w:tc>
          <w:tcPr>
            <w:tcW w:w="1632" w:type="dxa"/>
            <w:shd w:val="clear" w:color="auto" w:fill="B5C0D8"/>
          </w:tcPr>
          <w:p w:rsidR="00976CAE" w:rsidRDefault="00112B83">
            <w:pPr>
              <w:pStyle w:val="CellHeader"/>
              <w:jc w:val="center"/>
            </w:pPr>
            <w:r>
              <w:rPr>
                <w:rFonts w:cs="Times New Roman"/>
              </w:rPr>
              <w:t>Plan 2025.</w:t>
            </w:r>
          </w:p>
        </w:tc>
        <w:tc>
          <w:tcPr>
            <w:tcW w:w="1632" w:type="dxa"/>
            <w:shd w:val="clear" w:color="auto" w:fill="B5C0D8"/>
          </w:tcPr>
          <w:p w:rsidR="00976CAE" w:rsidRDefault="00112B83">
            <w:pPr>
              <w:pStyle w:val="CellHeader"/>
              <w:jc w:val="center"/>
            </w:pPr>
            <w:r>
              <w:rPr>
                <w:rFonts w:cs="Times New Roman"/>
              </w:rPr>
              <w:t>Plan 2026.</w:t>
            </w:r>
          </w:p>
        </w:tc>
        <w:tc>
          <w:tcPr>
            <w:tcW w:w="510" w:type="dxa"/>
            <w:shd w:val="clear" w:color="auto" w:fill="B5C0D8"/>
          </w:tcPr>
          <w:p w:rsidR="00976CAE" w:rsidRDefault="00112B83">
            <w:pPr>
              <w:pStyle w:val="CellHeader"/>
              <w:jc w:val="center"/>
            </w:pPr>
            <w:r>
              <w:rPr>
                <w:rFonts w:cs="Times New Roman"/>
              </w:rPr>
              <w:t>Indeks 2024/2023</w:t>
            </w:r>
          </w:p>
        </w:tc>
      </w:tr>
      <w:tr w:rsidR="00976CAE">
        <w:trPr>
          <w:jc w:val="center"/>
        </w:trPr>
        <w:tc>
          <w:tcPr>
            <w:tcW w:w="1530" w:type="dxa"/>
          </w:tcPr>
          <w:p w:rsidR="00976CAE" w:rsidRDefault="00112B83">
            <w:pPr>
              <w:pStyle w:val="CellColumn"/>
              <w:jc w:val="left"/>
            </w:pPr>
            <w:r>
              <w:rPr>
                <w:rFonts w:cs="Times New Roman"/>
              </w:rPr>
              <w:t>3005</w:t>
            </w:r>
          </w:p>
        </w:tc>
        <w:tc>
          <w:tcPr>
            <w:tcW w:w="1632" w:type="dxa"/>
          </w:tcPr>
          <w:p w:rsidR="00976CAE" w:rsidRDefault="00112B83">
            <w:pPr>
              <w:jc w:val="right"/>
            </w:pPr>
            <w:r>
              <w:t>160.604</w:t>
            </w:r>
          </w:p>
        </w:tc>
        <w:tc>
          <w:tcPr>
            <w:tcW w:w="1632" w:type="dxa"/>
          </w:tcPr>
          <w:p w:rsidR="00976CAE" w:rsidRDefault="00112B83">
            <w:pPr>
              <w:jc w:val="right"/>
            </w:pPr>
            <w:r>
              <w:t>248.625</w:t>
            </w:r>
          </w:p>
        </w:tc>
        <w:tc>
          <w:tcPr>
            <w:tcW w:w="1632" w:type="dxa"/>
          </w:tcPr>
          <w:p w:rsidR="00976CAE" w:rsidRDefault="00112B83">
            <w:pPr>
              <w:jc w:val="right"/>
            </w:pPr>
            <w:r>
              <w:t>336.047</w:t>
            </w:r>
          </w:p>
        </w:tc>
        <w:tc>
          <w:tcPr>
            <w:tcW w:w="1632" w:type="dxa"/>
          </w:tcPr>
          <w:p w:rsidR="00976CAE" w:rsidRDefault="00112B83">
            <w:pPr>
              <w:jc w:val="right"/>
            </w:pPr>
            <w:r>
              <w:t>321.426</w:t>
            </w:r>
          </w:p>
        </w:tc>
        <w:tc>
          <w:tcPr>
            <w:tcW w:w="1632" w:type="dxa"/>
          </w:tcPr>
          <w:p w:rsidR="00976CAE" w:rsidRDefault="00112B83">
            <w:pPr>
              <w:jc w:val="right"/>
            </w:pPr>
            <w:r>
              <w:t>321.426</w:t>
            </w:r>
          </w:p>
        </w:tc>
        <w:tc>
          <w:tcPr>
            <w:tcW w:w="510" w:type="dxa"/>
          </w:tcPr>
          <w:p w:rsidR="00976CAE" w:rsidRDefault="00112B83">
            <w:pPr>
              <w:jc w:val="right"/>
            </w:pPr>
            <w:r>
              <w:t>135,2</w:t>
            </w:r>
          </w:p>
        </w:tc>
      </w:tr>
    </w:tbl>
    <w:p w:rsidR="00976CAE" w:rsidRDefault="00976CAE">
      <w:pPr>
        <w:jc w:val="left"/>
      </w:pPr>
    </w:p>
    <w:p w:rsidR="00976CAE" w:rsidRDefault="00112B83">
      <w:r>
        <w:t>Kroz potporu smanjenju utjecaja ribarstva i akvakulture na okoliš i klimu, istodobno osiguravajući pošteni ekonomski povrat ribarima i uzgajivačima, strategija Programa doprinosi ciljevima europskog zelenog paketa, strategije Od pol</w:t>
      </w:r>
      <w:r>
        <w:t xml:space="preserve">ja do stola, Strategije Europske unije za bioraznolikost do 2030., nove Strategije Europske unije za prilagodbu  </w:t>
      </w:r>
    </w:p>
    <w:p w:rsidR="00976CAE" w:rsidRDefault="00112B83">
      <w:r>
        <w:t xml:space="preserve">klimatskim promjenama, nove Strategije GFCM-a 2030, Komunikacije Europske Komisije o novom pristupu za održivo plavo gospodarstvo u Europskoj </w:t>
      </w:r>
      <w:r>
        <w:t>uniji, Preobrazba plavog gospodarstva Europske unije za održivu budućnost kao i relevantnih nacionalnih strategija te održivog plavog gospodarstva. Prioriteti su usmjereni ka promicanju održivih proizvodnih metoda radi postizanja boljih rezultata u područj</w:t>
      </w:r>
      <w:r>
        <w:t>u klime i okoliša, povećanja otpornosti na klimatske promjene, optimizacije korištenja prirodnih resursa, dekarbonizacije i klimatske neutralnosti. Poticat će se prelazak na održivost koji će pružiti mogućnost svim dionicima da ostvare konkurentsku prednos</w:t>
      </w:r>
      <w:r>
        <w:t>t na tržištu te da se očuvaju vodeni biološki resursi s ciljem doprinosa zaštiti i obnovi vodene bioraznolikosti i ekosustava.Strategijom Programa doprinijet će se stvaranju dodane vrijednosti javnih ulaganja Europske unije, osobito korištenjem financijski</w:t>
      </w:r>
      <w:r>
        <w:t xml:space="preserve">h instrumenata. Nadalje, djelovanjima predviđenima za postizanje utvrđenih prioriteta ciljeva Programa osigurat će se odgovarajuća zastupljenost privatnog financiranja te pritom osigurati da se ne narušava tržišno natjecanje na unutarnjem tržištu.U odnosu </w:t>
      </w:r>
      <w:r>
        <w:t>na poticanje okolišno, gospodarski i socijalno održivog ribarstva, strategija Programa će u skladu sa Strategijom Europske unije za bioraznolikost do 2030. doprinijeti postizanju i održavanju održivog ribarstva kroz poticanje očuvanja, zaštite i obnove vod</w:t>
      </w:r>
      <w:r>
        <w:t xml:space="preserve">ene bioraznolikosti i ekosustava i ribolovnih resursa na razini maksimalnog održivog prinosa  </w:t>
      </w:r>
    </w:p>
    <w:p w:rsidR="00976CAE" w:rsidRDefault="00112B83">
      <w:r>
        <w:t>(MSY) te kroz smanjenje negativnih učinaka ribolovnih aktivnosti na morski ekosustav na najmanju moguću mjeru. Također, poticat će se i prilagodba ribarstva klim</w:t>
      </w:r>
      <w:r>
        <w:t xml:space="preserve">atskim promjenama kao i ublažavanje klimatskih promjena, u skladu sa EU i nacionalnom Strategijom prilagodbe klimatskim promjenama te Strategijom niskougljičnog razvoja. </w:t>
      </w:r>
    </w:p>
    <w:p w:rsidR="00976CAE" w:rsidRDefault="00112B83">
      <w:r>
        <w:t xml:space="preserve">Za ostvarivanje ciljeva očuvanja Zajedničke ribarstvene politike (ZRP), podupirat će </w:t>
      </w:r>
      <w:r>
        <w:t>se djelovanja namijenjena upravljanju ribarstvom i ribarskom flotom. U tom kontekstu potpora će se dodjeljivati za prilagodbu flote, i to za određene segmente flote, odnosno potpora će biti usmjerena na očuvanje i održivo iskorištavanje morskih bioloških r</w:t>
      </w:r>
      <w:r>
        <w:t xml:space="preserve">esursa te na postizanje ravnoteže između ribolovnog kapaciteta i raspoloživih ribolovnih mogućnosti, a što doprinosi  </w:t>
      </w:r>
    </w:p>
    <w:p w:rsidR="00976CAE" w:rsidRDefault="00112B83">
      <w:r>
        <w:t>i održivom plavom gospodarstvu. U ovom smislu, važno je posebno istaknuti ključne segmente ribolova (demerzalni ribolov i ribolov male pl</w:t>
      </w:r>
      <w:r>
        <w:t xml:space="preserve">ave ribe u Jadranu) za koje su u recentnom razdoblju doneseni višegodišnji planovi upravljanja na razini GFCM-a kao stabilni upravljački okviri s jasno postavljenim ciljevima koji podrazumijevaju postizanje razine  </w:t>
      </w:r>
    </w:p>
    <w:p w:rsidR="00976CAE" w:rsidRDefault="00112B83">
      <w:r>
        <w:t>maksimalnog održivog prinosa u zadanim r</w:t>
      </w:r>
      <w:r>
        <w:t>okovima pomoću definiranih mjera, te će predviđene potpore biti usmjerene postizanju ciljeva navedenih planova.Uspjeh Zajedničke ribarstvene politike ovisi o dostupnosti znanstvenih savjeta u području upravljanja ribarstvom, a stoga i o dostupnosti podatak</w:t>
      </w:r>
      <w:r>
        <w:t xml:space="preserve">a o ribarstvu. S obzirom na izazove i  </w:t>
      </w:r>
    </w:p>
    <w:p w:rsidR="00976CAE" w:rsidRDefault="00112B83">
      <w:r>
        <w:lastRenderedPageBreak/>
        <w:t xml:space="preserve">HR 10 HRtroškove povezane s dobivanjem pouzdanih i potpunih podataka, potrebno je pružiti potporu  </w:t>
      </w:r>
    </w:p>
    <w:p w:rsidR="00976CAE" w:rsidRDefault="00112B83">
      <w:r>
        <w:t>djelovanjima namijenjenima prikupljanju i obradi podataka, te korištenju istih u svrhu doprinosa upravljanju u ribar</w:t>
      </w:r>
      <w:r>
        <w:t>stvu.Konkretno, strateško usmjerenje stavljeno je na održivu akvakulturu uz povećanje produktivnosti i otpornosti proizvodnje odnosno prilagodbu akvakulture na klimatske promjene, jačanje konkurentnosti sektora akvakulture i poticanje inovacija. Strategija</w:t>
      </w:r>
      <w:r>
        <w:t xml:space="preserve"> Programa usmjerena je na širenje i diversifikaciju proizvoda marikulture i slatkovodne akvakulture kroz poticanje ulaganja u sirovine, modernizaciju i energetsku učinkovitost uzgajališta, poticanje kružnog upravljanja i dekarbonizaciju, uspostavu mrjestil</w:t>
      </w:r>
      <w:r>
        <w:t>išta te kroz razvoj i uvođenje novih tehnologija mrijesta i recirkulacijskih sustava za uzgoj (RAS) u slatkovodnoj akvakulturi, uz potporu aktivnosti prijenosa znanja i uvođenjem inovacija tehnološkim, organizacijskim i poslovnim procesima u pružanju nutri</w:t>
      </w:r>
      <w:r>
        <w:t>tivnih, zdravih i visoko kvalitetnih proizvoda potrošačima te pružanju podrške akvakulturi koja osigurava zaštitu okoliša.</w:t>
      </w:r>
    </w:p>
    <w:p w:rsidR="00976CAE" w:rsidRDefault="00112B83">
      <w:pPr>
        <w:pStyle w:val="Heading8"/>
        <w:jc w:val="left"/>
      </w:pPr>
      <w:r>
        <w:t>Cilj 1. Poticanje održivog ribarstva te obnova i očuvanje vodenih bioloških resursa</w:t>
      </w:r>
    </w:p>
    <w:p w:rsidR="00976CAE" w:rsidRDefault="00112B83">
      <w:pPr>
        <w:pStyle w:val="Heading8"/>
        <w:jc w:val="left"/>
      </w:pPr>
      <w:r>
        <w:t>Pokazatelji učinka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976CAE">
        <w:trPr>
          <w:jc w:val="center"/>
        </w:trPr>
        <w:tc>
          <w:tcPr>
            <w:tcW w:w="2245" w:type="dxa"/>
            <w:shd w:val="clear" w:color="auto" w:fill="B5C0D8"/>
          </w:tcPr>
          <w:p w:rsidR="00976CAE" w:rsidRDefault="00112B83">
            <w:pPr>
              <w:jc w:val="center"/>
            </w:pPr>
            <w:r>
              <w:t>Pokazatelj učinka</w:t>
            </w:r>
          </w:p>
        </w:tc>
        <w:tc>
          <w:tcPr>
            <w:tcW w:w="2245" w:type="dxa"/>
            <w:shd w:val="clear" w:color="auto" w:fill="B5C0D8"/>
          </w:tcPr>
          <w:p w:rsidR="00976CAE" w:rsidRDefault="00112B83">
            <w:pPr>
              <w:pStyle w:val="CellHeader"/>
              <w:jc w:val="center"/>
            </w:pPr>
            <w:r>
              <w:rPr>
                <w:rFonts w:cs="Times New Roman"/>
              </w:rPr>
              <w:t>Definicija</w:t>
            </w:r>
          </w:p>
        </w:tc>
        <w:tc>
          <w:tcPr>
            <w:tcW w:w="918" w:type="dxa"/>
            <w:shd w:val="clear" w:color="auto" w:fill="B5C0D8"/>
          </w:tcPr>
          <w:p w:rsidR="00976CAE" w:rsidRDefault="00112B83">
            <w:pPr>
              <w:pStyle w:val="CellHeader"/>
              <w:jc w:val="center"/>
            </w:pPr>
            <w:r>
              <w:rPr>
                <w:rFonts w:cs="Times New Roman"/>
              </w:rPr>
              <w:t>J</w:t>
            </w:r>
            <w:r>
              <w:rPr>
                <w:rFonts w:cs="Times New Roman"/>
              </w:rPr>
              <w:t>edinica</w:t>
            </w:r>
          </w:p>
        </w:tc>
        <w:tc>
          <w:tcPr>
            <w:tcW w:w="918" w:type="dxa"/>
            <w:shd w:val="clear" w:color="auto" w:fill="B5C0D8"/>
          </w:tcPr>
          <w:p w:rsidR="00976CAE" w:rsidRDefault="00112B83">
            <w:pPr>
              <w:pStyle w:val="CellHeader"/>
              <w:jc w:val="center"/>
            </w:pPr>
            <w:r>
              <w:rPr>
                <w:rFonts w:cs="Times New Roman"/>
              </w:rPr>
              <w:t>Polazna vrijednost</w:t>
            </w:r>
          </w:p>
        </w:tc>
        <w:tc>
          <w:tcPr>
            <w:tcW w:w="918" w:type="dxa"/>
            <w:shd w:val="clear" w:color="auto" w:fill="B5C0D8"/>
          </w:tcPr>
          <w:p w:rsidR="00976CAE" w:rsidRDefault="00112B83">
            <w:pPr>
              <w:pStyle w:val="CellHeader"/>
              <w:jc w:val="center"/>
            </w:pPr>
            <w:r>
              <w:rPr>
                <w:rFonts w:cs="Times New Roman"/>
              </w:rPr>
              <w:t>Izvor podataka</w:t>
            </w:r>
          </w:p>
        </w:tc>
        <w:tc>
          <w:tcPr>
            <w:tcW w:w="918" w:type="dxa"/>
            <w:shd w:val="clear" w:color="auto" w:fill="B5C0D8"/>
          </w:tcPr>
          <w:p w:rsidR="00976CAE" w:rsidRDefault="00112B83">
            <w:pPr>
              <w:pStyle w:val="CellHeader"/>
              <w:jc w:val="center"/>
            </w:pPr>
            <w:r>
              <w:rPr>
                <w:rFonts w:cs="Times New Roman"/>
              </w:rPr>
              <w:t>Ciljana vrijednost (2024.)</w:t>
            </w:r>
          </w:p>
        </w:tc>
        <w:tc>
          <w:tcPr>
            <w:tcW w:w="918" w:type="dxa"/>
            <w:shd w:val="clear" w:color="auto" w:fill="B5C0D8"/>
          </w:tcPr>
          <w:p w:rsidR="00976CAE" w:rsidRDefault="00112B83">
            <w:pPr>
              <w:pStyle w:val="CellHeader"/>
              <w:jc w:val="center"/>
            </w:pPr>
            <w:r>
              <w:rPr>
                <w:rFonts w:cs="Times New Roman"/>
              </w:rPr>
              <w:t>Ciljana vrijednost (2025.)</w:t>
            </w:r>
          </w:p>
        </w:tc>
        <w:tc>
          <w:tcPr>
            <w:tcW w:w="918" w:type="dxa"/>
            <w:shd w:val="clear" w:color="auto" w:fill="B5C0D8"/>
          </w:tcPr>
          <w:p w:rsidR="00976CAE" w:rsidRDefault="00112B83">
            <w:pPr>
              <w:pStyle w:val="CellHeader"/>
              <w:jc w:val="center"/>
            </w:pPr>
            <w:r>
              <w:rPr>
                <w:rFonts w:cs="Times New Roman"/>
              </w:rPr>
              <w:t>Ciljana vrijednost (2026.)</w:t>
            </w:r>
          </w:p>
        </w:tc>
      </w:tr>
      <w:tr w:rsidR="00976CAE">
        <w:trPr>
          <w:jc w:val="center"/>
        </w:trPr>
        <w:tc>
          <w:tcPr>
            <w:tcW w:w="2245" w:type="dxa"/>
            <w:vAlign w:val="top"/>
          </w:tcPr>
          <w:p w:rsidR="00976CAE" w:rsidRDefault="00112B83">
            <w:pPr>
              <w:pStyle w:val="CellColumn"/>
              <w:jc w:val="left"/>
            </w:pPr>
            <w:r>
              <w:rPr>
                <w:rFonts w:cs="Times New Roman"/>
              </w:rPr>
              <w:t>Povećanje energetske učinkovitosti i smanjenje emisije CO2</w:t>
            </w:r>
          </w:p>
        </w:tc>
        <w:tc>
          <w:tcPr>
            <w:tcW w:w="2245" w:type="dxa"/>
            <w:vAlign w:val="top"/>
          </w:tcPr>
          <w:p w:rsidR="00976CAE" w:rsidRDefault="00112B83">
            <w:pPr>
              <w:pStyle w:val="CellColumn"/>
              <w:jc w:val="left"/>
            </w:pPr>
            <w:r>
              <w:rPr>
                <w:rFonts w:cs="Times New Roman"/>
              </w:rPr>
              <w:t>Povećanje enertgetske učinkovitosti i smanjenje CO2 kroz zamjenu ili modernizaciju motora ribarskih plovila</w:t>
            </w:r>
          </w:p>
        </w:tc>
        <w:tc>
          <w:tcPr>
            <w:tcW w:w="918" w:type="dxa"/>
          </w:tcPr>
          <w:p w:rsidR="00976CAE" w:rsidRDefault="00112B83">
            <w:pPr>
              <w:jc w:val="center"/>
            </w:pPr>
            <w:r>
              <w:t>%</w:t>
            </w:r>
          </w:p>
        </w:tc>
        <w:tc>
          <w:tcPr>
            <w:tcW w:w="918" w:type="dxa"/>
          </w:tcPr>
          <w:p w:rsidR="00976CAE" w:rsidRDefault="00112B83">
            <w:pPr>
              <w:jc w:val="center"/>
            </w:pPr>
            <w:r>
              <w:t>0%</w:t>
            </w:r>
          </w:p>
        </w:tc>
        <w:tc>
          <w:tcPr>
            <w:tcW w:w="918" w:type="dxa"/>
          </w:tcPr>
          <w:p w:rsidR="00976CAE" w:rsidRDefault="00112B83">
            <w:pPr>
              <w:pStyle w:val="CellColumn"/>
              <w:jc w:val="center"/>
            </w:pPr>
            <w:r>
              <w:rPr>
                <w:rFonts w:cs="Times New Roman"/>
              </w:rPr>
              <w:t>MP</w:t>
            </w:r>
          </w:p>
        </w:tc>
        <w:tc>
          <w:tcPr>
            <w:tcW w:w="918" w:type="dxa"/>
          </w:tcPr>
          <w:p w:rsidR="00976CAE" w:rsidRDefault="00112B83">
            <w:pPr>
              <w:jc w:val="center"/>
            </w:pPr>
            <w:r>
              <w:t>20</w:t>
            </w:r>
          </w:p>
        </w:tc>
        <w:tc>
          <w:tcPr>
            <w:tcW w:w="918" w:type="dxa"/>
          </w:tcPr>
          <w:p w:rsidR="00976CAE" w:rsidRDefault="00112B83">
            <w:pPr>
              <w:jc w:val="center"/>
            </w:pPr>
            <w:r>
              <w:t>30</w:t>
            </w:r>
          </w:p>
        </w:tc>
        <w:tc>
          <w:tcPr>
            <w:tcW w:w="918" w:type="dxa"/>
          </w:tcPr>
          <w:p w:rsidR="00976CAE" w:rsidRDefault="00112B83">
            <w:pPr>
              <w:jc w:val="center"/>
            </w:pPr>
            <w:r>
              <w:t>40</w:t>
            </w:r>
          </w:p>
        </w:tc>
      </w:tr>
    </w:tbl>
    <w:p w:rsidR="00976CAE" w:rsidRDefault="00976CAE">
      <w:pPr>
        <w:jc w:val="left"/>
      </w:pPr>
    </w:p>
    <w:p w:rsidR="00976CAE" w:rsidRDefault="00112B83">
      <w:pPr>
        <w:pStyle w:val="Heading4"/>
      </w:pPr>
      <w:r>
        <w:t>A841006 TEHNIČKA POMOĆ - OPERATIVNI PROGRAM ZA POMORSTVO I RIBARSTVO</w:t>
      </w:r>
    </w:p>
    <w:p w:rsidR="00976CAE" w:rsidRDefault="00112B83">
      <w:pPr>
        <w:pStyle w:val="Heading8"/>
        <w:jc w:val="left"/>
      </w:pPr>
      <w:r>
        <w:t>Zakonske i druge pravne osnove</w:t>
      </w:r>
    </w:p>
    <w:p w:rsidR="00976CAE" w:rsidRDefault="00112B83">
      <w:r>
        <w:t>- Programa za ribarstvo i akvakulturu za programsko razdoblje 2021.-2027.</w:t>
      </w:r>
    </w:p>
    <w:tbl>
      <w:tblPr>
        <w:tblStyle w:val="StilTablice"/>
        <w:tblW w:w="10206" w:type="dxa"/>
        <w:jc w:val="center"/>
        <w:tblLook w:val="04A0" w:firstRow="1" w:lastRow="0" w:firstColumn="1" w:lastColumn="0" w:noHBand="0" w:noVBand="1"/>
      </w:tblPr>
      <w:tblGrid>
        <w:gridCol w:w="1477"/>
        <w:gridCol w:w="1566"/>
        <w:gridCol w:w="1559"/>
        <w:gridCol w:w="1550"/>
        <w:gridCol w:w="1542"/>
        <w:gridCol w:w="1542"/>
        <w:gridCol w:w="970"/>
      </w:tblGrid>
      <w:tr w:rsidR="00976CAE">
        <w:trPr>
          <w:jc w:val="center"/>
        </w:trPr>
        <w:tc>
          <w:tcPr>
            <w:tcW w:w="1530" w:type="dxa"/>
            <w:shd w:val="clear" w:color="auto" w:fill="B5C0D8"/>
          </w:tcPr>
          <w:p w:rsidR="00976CAE" w:rsidRDefault="00112B83">
            <w:pPr>
              <w:pStyle w:val="CellHeader"/>
              <w:jc w:val="center"/>
            </w:pPr>
            <w:r>
              <w:rPr>
                <w:rFonts w:cs="Times New Roman"/>
              </w:rPr>
              <w:t>Naziv aktivnosti</w:t>
            </w:r>
          </w:p>
        </w:tc>
        <w:tc>
          <w:tcPr>
            <w:tcW w:w="1632" w:type="dxa"/>
            <w:shd w:val="clear" w:color="auto" w:fill="B5C0D8"/>
          </w:tcPr>
          <w:p w:rsidR="00976CAE" w:rsidRDefault="00112B83">
            <w:pPr>
              <w:pStyle w:val="CellHeader"/>
              <w:jc w:val="center"/>
            </w:pPr>
            <w:r>
              <w:rPr>
                <w:rFonts w:cs="Times New Roman"/>
              </w:rPr>
              <w:t>Izvršenje 2022.</w:t>
            </w:r>
          </w:p>
        </w:tc>
        <w:tc>
          <w:tcPr>
            <w:tcW w:w="1632" w:type="dxa"/>
            <w:shd w:val="clear" w:color="auto" w:fill="B5C0D8"/>
          </w:tcPr>
          <w:p w:rsidR="00976CAE" w:rsidRDefault="00112B83">
            <w:pPr>
              <w:pStyle w:val="CellHeader"/>
              <w:jc w:val="center"/>
            </w:pPr>
            <w:r>
              <w:rPr>
                <w:rFonts w:cs="Times New Roman"/>
              </w:rPr>
              <w:t>Plan 2023.</w:t>
            </w:r>
          </w:p>
        </w:tc>
        <w:tc>
          <w:tcPr>
            <w:tcW w:w="1632" w:type="dxa"/>
            <w:shd w:val="clear" w:color="auto" w:fill="B5C0D8"/>
          </w:tcPr>
          <w:p w:rsidR="00976CAE" w:rsidRDefault="00112B83">
            <w:pPr>
              <w:pStyle w:val="CellHeader"/>
              <w:jc w:val="center"/>
            </w:pPr>
            <w:r>
              <w:rPr>
                <w:rFonts w:cs="Times New Roman"/>
              </w:rPr>
              <w:t>Plan 2024.</w:t>
            </w:r>
          </w:p>
        </w:tc>
        <w:tc>
          <w:tcPr>
            <w:tcW w:w="1632" w:type="dxa"/>
            <w:shd w:val="clear" w:color="auto" w:fill="B5C0D8"/>
          </w:tcPr>
          <w:p w:rsidR="00976CAE" w:rsidRDefault="00112B83">
            <w:pPr>
              <w:pStyle w:val="CellHeader"/>
              <w:jc w:val="center"/>
            </w:pPr>
            <w:r>
              <w:rPr>
                <w:rFonts w:cs="Times New Roman"/>
              </w:rPr>
              <w:t>Plan 2025.</w:t>
            </w:r>
          </w:p>
        </w:tc>
        <w:tc>
          <w:tcPr>
            <w:tcW w:w="1632" w:type="dxa"/>
            <w:shd w:val="clear" w:color="auto" w:fill="B5C0D8"/>
          </w:tcPr>
          <w:p w:rsidR="00976CAE" w:rsidRDefault="00112B83">
            <w:pPr>
              <w:pStyle w:val="CellHeader"/>
              <w:jc w:val="center"/>
            </w:pPr>
            <w:r>
              <w:rPr>
                <w:rFonts w:cs="Times New Roman"/>
              </w:rPr>
              <w:t>Plan 2026.</w:t>
            </w:r>
          </w:p>
        </w:tc>
        <w:tc>
          <w:tcPr>
            <w:tcW w:w="510" w:type="dxa"/>
            <w:shd w:val="clear" w:color="auto" w:fill="B5C0D8"/>
          </w:tcPr>
          <w:p w:rsidR="00976CAE" w:rsidRDefault="00112B83">
            <w:pPr>
              <w:pStyle w:val="CellHeader"/>
              <w:jc w:val="center"/>
            </w:pPr>
            <w:r>
              <w:rPr>
                <w:rFonts w:cs="Times New Roman"/>
              </w:rPr>
              <w:t>Indeks 2024/2023</w:t>
            </w:r>
          </w:p>
        </w:tc>
      </w:tr>
      <w:tr w:rsidR="00976CAE">
        <w:trPr>
          <w:jc w:val="center"/>
        </w:trPr>
        <w:tc>
          <w:tcPr>
            <w:tcW w:w="1530" w:type="dxa"/>
            <w:vAlign w:val="top"/>
          </w:tcPr>
          <w:p w:rsidR="00976CAE" w:rsidRDefault="00112B83">
            <w:pPr>
              <w:pStyle w:val="CellColumn"/>
              <w:jc w:val="left"/>
            </w:pPr>
            <w:r>
              <w:rPr>
                <w:rFonts w:cs="Times New Roman"/>
              </w:rPr>
              <w:t>A841006</w:t>
            </w:r>
          </w:p>
        </w:tc>
        <w:tc>
          <w:tcPr>
            <w:tcW w:w="1632" w:type="dxa"/>
            <w:vAlign w:val="top"/>
          </w:tcPr>
          <w:p w:rsidR="00976CAE" w:rsidRDefault="00112B83">
            <w:pPr>
              <w:jc w:val="right"/>
            </w:pPr>
            <w:r>
              <w:t>160.604</w:t>
            </w:r>
          </w:p>
        </w:tc>
        <w:tc>
          <w:tcPr>
            <w:tcW w:w="1632" w:type="dxa"/>
            <w:vAlign w:val="top"/>
          </w:tcPr>
          <w:p w:rsidR="00976CAE" w:rsidRDefault="00112B83">
            <w:pPr>
              <w:jc w:val="right"/>
            </w:pPr>
            <w:r>
              <w:t>248.625</w:t>
            </w:r>
          </w:p>
        </w:tc>
        <w:tc>
          <w:tcPr>
            <w:tcW w:w="1632" w:type="dxa"/>
            <w:vAlign w:val="top"/>
          </w:tcPr>
          <w:p w:rsidR="00976CAE" w:rsidRDefault="00112B83">
            <w:pPr>
              <w:jc w:val="right"/>
            </w:pPr>
            <w:r>
              <w:t>17.475</w:t>
            </w:r>
          </w:p>
        </w:tc>
        <w:tc>
          <w:tcPr>
            <w:tcW w:w="1632" w:type="dxa"/>
            <w:vAlign w:val="top"/>
          </w:tcPr>
          <w:p w:rsidR="00976CAE" w:rsidRDefault="00112B83">
            <w:pPr>
              <w:jc w:val="right"/>
            </w:pPr>
            <w:r>
              <w:t>00</w:t>
            </w:r>
          </w:p>
        </w:tc>
        <w:tc>
          <w:tcPr>
            <w:tcW w:w="1632" w:type="dxa"/>
            <w:vAlign w:val="top"/>
          </w:tcPr>
          <w:p w:rsidR="00976CAE" w:rsidRDefault="00112B83">
            <w:pPr>
              <w:jc w:val="right"/>
            </w:pPr>
            <w:r>
              <w:t>00</w:t>
            </w:r>
          </w:p>
        </w:tc>
        <w:tc>
          <w:tcPr>
            <w:tcW w:w="510" w:type="dxa"/>
            <w:vAlign w:val="top"/>
          </w:tcPr>
          <w:p w:rsidR="00976CAE" w:rsidRDefault="00112B83">
            <w:pPr>
              <w:jc w:val="right"/>
            </w:pPr>
            <w:r>
              <w:t>7,0</w:t>
            </w:r>
          </w:p>
        </w:tc>
      </w:tr>
    </w:tbl>
    <w:p w:rsidR="00976CAE" w:rsidRDefault="00976CAE">
      <w:pPr>
        <w:jc w:val="left"/>
      </w:pPr>
    </w:p>
    <w:p w:rsidR="00976CAE" w:rsidRDefault="00112B83">
      <w:r>
        <w:t>Sve mjere iz Operativni program za pomorstvo i ribarstvo kao i ostalih programa financijskog razdoblja 2014.-2020. potrebno je isplatiti do 30.06.2024.g.</w:t>
      </w:r>
    </w:p>
    <w:p w:rsidR="00976CAE" w:rsidRDefault="00112B83">
      <w:pPr>
        <w:pStyle w:val="Heading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976CAE">
        <w:trPr>
          <w:jc w:val="center"/>
        </w:trPr>
        <w:tc>
          <w:tcPr>
            <w:tcW w:w="2245" w:type="dxa"/>
            <w:shd w:val="clear" w:color="auto" w:fill="B5C0D8"/>
          </w:tcPr>
          <w:p w:rsidR="00976CAE" w:rsidRDefault="00112B83">
            <w:pPr>
              <w:jc w:val="center"/>
            </w:pPr>
            <w:r>
              <w:t>Pokazatelj rezultata</w:t>
            </w:r>
          </w:p>
        </w:tc>
        <w:tc>
          <w:tcPr>
            <w:tcW w:w="2245" w:type="dxa"/>
            <w:shd w:val="clear" w:color="auto" w:fill="B5C0D8"/>
          </w:tcPr>
          <w:p w:rsidR="00976CAE" w:rsidRDefault="00112B83">
            <w:pPr>
              <w:pStyle w:val="CellHeader"/>
              <w:jc w:val="center"/>
            </w:pPr>
            <w:r>
              <w:rPr>
                <w:rFonts w:cs="Times New Roman"/>
              </w:rPr>
              <w:t>Definicija</w:t>
            </w:r>
          </w:p>
        </w:tc>
        <w:tc>
          <w:tcPr>
            <w:tcW w:w="918" w:type="dxa"/>
            <w:shd w:val="clear" w:color="auto" w:fill="B5C0D8"/>
          </w:tcPr>
          <w:p w:rsidR="00976CAE" w:rsidRDefault="00112B83">
            <w:pPr>
              <w:pStyle w:val="CellHeader"/>
              <w:jc w:val="center"/>
            </w:pPr>
            <w:r>
              <w:rPr>
                <w:rFonts w:cs="Times New Roman"/>
              </w:rPr>
              <w:t>Jedinica</w:t>
            </w:r>
          </w:p>
        </w:tc>
        <w:tc>
          <w:tcPr>
            <w:tcW w:w="918" w:type="dxa"/>
            <w:shd w:val="clear" w:color="auto" w:fill="B5C0D8"/>
          </w:tcPr>
          <w:p w:rsidR="00976CAE" w:rsidRDefault="00112B83">
            <w:pPr>
              <w:pStyle w:val="CellHeader"/>
              <w:jc w:val="center"/>
            </w:pPr>
            <w:r>
              <w:rPr>
                <w:rFonts w:cs="Times New Roman"/>
              </w:rPr>
              <w:t>Polazna vrijednost</w:t>
            </w:r>
          </w:p>
        </w:tc>
        <w:tc>
          <w:tcPr>
            <w:tcW w:w="918" w:type="dxa"/>
            <w:shd w:val="clear" w:color="auto" w:fill="B5C0D8"/>
          </w:tcPr>
          <w:p w:rsidR="00976CAE" w:rsidRDefault="00112B83">
            <w:pPr>
              <w:pStyle w:val="CellHeader"/>
              <w:jc w:val="center"/>
            </w:pPr>
            <w:r>
              <w:rPr>
                <w:rFonts w:cs="Times New Roman"/>
              </w:rPr>
              <w:t>Izvor podataka</w:t>
            </w:r>
          </w:p>
        </w:tc>
        <w:tc>
          <w:tcPr>
            <w:tcW w:w="918" w:type="dxa"/>
            <w:shd w:val="clear" w:color="auto" w:fill="B5C0D8"/>
          </w:tcPr>
          <w:p w:rsidR="00976CAE" w:rsidRDefault="00112B83">
            <w:pPr>
              <w:pStyle w:val="CellHeader"/>
              <w:jc w:val="center"/>
            </w:pPr>
            <w:r>
              <w:rPr>
                <w:rFonts w:cs="Times New Roman"/>
              </w:rPr>
              <w:t>Ciljana vrijednost (2024.)</w:t>
            </w:r>
          </w:p>
        </w:tc>
        <w:tc>
          <w:tcPr>
            <w:tcW w:w="918" w:type="dxa"/>
            <w:shd w:val="clear" w:color="auto" w:fill="B5C0D8"/>
          </w:tcPr>
          <w:p w:rsidR="00976CAE" w:rsidRDefault="00112B83">
            <w:pPr>
              <w:pStyle w:val="CellHeader"/>
              <w:jc w:val="center"/>
            </w:pPr>
            <w:r>
              <w:rPr>
                <w:rFonts w:cs="Times New Roman"/>
              </w:rPr>
              <w:t>Ciljana vrijednost (2025.)</w:t>
            </w:r>
          </w:p>
        </w:tc>
        <w:tc>
          <w:tcPr>
            <w:tcW w:w="918" w:type="dxa"/>
            <w:shd w:val="clear" w:color="auto" w:fill="B5C0D8"/>
          </w:tcPr>
          <w:p w:rsidR="00976CAE" w:rsidRDefault="00112B83">
            <w:pPr>
              <w:pStyle w:val="CellHeader"/>
              <w:jc w:val="center"/>
            </w:pPr>
            <w:r>
              <w:rPr>
                <w:rFonts w:cs="Times New Roman"/>
              </w:rPr>
              <w:t>Ciljana vrijednost (2026.)</w:t>
            </w:r>
          </w:p>
        </w:tc>
      </w:tr>
      <w:tr w:rsidR="00976CAE">
        <w:trPr>
          <w:jc w:val="center"/>
        </w:trPr>
        <w:tc>
          <w:tcPr>
            <w:tcW w:w="2245" w:type="dxa"/>
            <w:vAlign w:val="top"/>
          </w:tcPr>
          <w:p w:rsidR="00976CAE" w:rsidRDefault="00112B83">
            <w:pPr>
              <w:pStyle w:val="CellColumn"/>
              <w:jc w:val="left"/>
            </w:pPr>
            <w:r>
              <w:rPr>
                <w:rFonts w:cs="Times New Roman"/>
              </w:rPr>
              <w:t>Isplata Zahtjeva iz Operativnog programa za pomorstvo i ribarstvo</w:t>
            </w:r>
          </w:p>
        </w:tc>
        <w:tc>
          <w:tcPr>
            <w:tcW w:w="2245" w:type="dxa"/>
            <w:vAlign w:val="top"/>
          </w:tcPr>
          <w:p w:rsidR="00976CAE" w:rsidRDefault="00112B83">
            <w:pPr>
              <w:pStyle w:val="CellColumn"/>
              <w:jc w:val="left"/>
            </w:pPr>
            <w:r>
              <w:rPr>
                <w:rFonts w:cs="Times New Roman"/>
              </w:rPr>
              <w:t>Isplata naknadno odbrenih zahtjeva iz prethodnog programskog razdoblja</w:t>
            </w:r>
          </w:p>
        </w:tc>
        <w:tc>
          <w:tcPr>
            <w:tcW w:w="918" w:type="dxa"/>
          </w:tcPr>
          <w:p w:rsidR="00976CAE" w:rsidRDefault="00112B83">
            <w:pPr>
              <w:jc w:val="center"/>
            </w:pPr>
            <w:r>
              <w:t>%</w:t>
            </w:r>
          </w:p>
        </w:tc>
        <w:tc>
          <w:tcPr>
            <w:tcW w:w="918" w:type="dxa"/>
          </w:tcPr>
          <w:p w:rsidR="00976CAE" w:rsidRDefault="00112B83">
            <w:pPr>
              <w:jc w:val="center"/>
            </w:pPr>
            <w:r>
              <w:t>100</w:t>
            </w:r>
          </w:p>
        </w:tc>
        <w:tc>
          <w:tcPr>
            <w:tcW w:w="918" w:type="dxa"/>
          </w:tcPr>
          <w:p w:rsidR="00976CAE" w:rsidRDefault="00112B83">
            <w:pPr>
              <w:pStyle w:val="CellColumn"/>
              <w:jc w:val="center"/>
            </w:pPr>
            <w:r>
              <w:rPr>
                <w:rFonts w:cs="Times New Roman"/>
              </w:rPr>
              <w:t>APPRRR</w:t>
            </w:r>
          </w:p>
        </w:tc>
        <w:tc>
          <w:tcPr>
            <w:tcW w:w="918" w:type="dxa"/>
          </w:tcPr>
          <w:p w:rsidR="00976CAE" w:rsidRDefault="00112B83">
            <w:pPr>
              <w:jc w:val="center"/>
            </w:pPr>
            <w:r>
              <w:t>100</w:t>
            </w:r>
          </w:p>
        </w:tc>
        <w:tc>
          <w:tcPr>
            <w:tcW w:w="918" w:type="dxa"/>
          </w:tcPr>
          <w:p w:rsidR="00976CAE" w:rsidRDefault="00976CAE">
            <w:pPr>
              <w:jc w:val="left"/>
            </w:pPr>
          </w:p>
        </w:tc>
        <w:tc>
          <w:tcPr>
            <w:tcW w:w="918" w:type="dxa"/>
          </w:tcPr>
          <w:p w:rsidR="00976CAE" w:rsidRDefault="00976CAE">
            <w:pPr>
              <w:jc w:val="left"/>
            </w:pPr>
          </w:p>
        </w:tc>
      </w:tr>
    </w:tbl>
    <w:p w:rsidR="00976CAE" w:rsidRDefault="00976CAE">
      <w:pPr>
        <w:jc w:val="left"/>
      </w:pPr>
    </w:p>
    <w:p w:rsidR="00976CAE" w:rsidRDefault="00112B83">
      <w:pPr>
        <w:pStyle w:val="Heading4"/>
      </w:pPr>
      <w:r>
        <w:t>A841010 TEHNIČKA POMOĆ - PROGRAM ZA RIBARSTVO I AKVAKULTURU RH ZA 2021.-2027.</w:t>
      </w:r>
    </w:p>
    <w:p w:rsidR="00976CAE" w:rsidRDefault="00112B83">
      <w:pPr>
        <w:pStyle w:val="Heading8"/>
        <w:jc w:val="left"/>
      </w:pPr>
      <w:r>
        <w:t>Zakonske i druge pravne osnove</w:t>
      </w:r>
    </w:p>
    <w:p w:rsidR="00976CAE" w:rsidRDefault="00112B83">
      <w:r>
        <w:t xml:space="preserve">- Program za ribarstvo i akvakulturu za programsko razdoblje 2021.-2027.  </w:t>
      </w:r>
    </w:p>
    <w:p w:rsidR="00976CAE" w:rsidRDefault="00112B83">
      <w:r>
        <w:t xml:space="preserve">- Uredba (EU) br. 2021/1060 Europskog parlamenta i Vijeća od 24. lipnja 2021.  </w:t>
      </w:r>
    </w:p>
    <w:p w:rsidR="00976CAE" w:rsidRDefault="00112B83">
      <w:r>
        <w:t xml:space="preserve">- Uredba (EU) br. 2021/1060 </w:t>
      </w:r>
    </w:p>
    <w:p w:rsidR="00976CAE" w:rsidRDefault="00112B83">
      <w:r>
        <w:lastRenderedPageBreak/>
        <w:t xml:space="preserve">- - Uredba (EU) br. 2021/1139 </w:t>
      </w:r>
    </w:p>
    <w:p w:rsidR="00976CAE" w:rsidRDefault="00112B83">
      <w:r>
        <w:t>Zakon o institucionalnom okviru za korištenje fondova Europske unije u Republici Hrvatskoj</w:t>
      </w:r>
    </w:p>
    <w:tbl>
      <w:tblPr>
        <w:tblStyle w:val="StilTablice"/>
        <w:tblW w:w="10206" w:type="dxa"/>
        <w:jc w:val="center"/>
        <w:tblLook w:val="04A0" w:firstRow="1" w:lastRow="0" w:firstColumn="1" w:lastColumn="0" w:noHBand="0" w:noVBand="1"/>
      </w:tblPr>
      <w:tblGrid>
        <w:gridCol w:w="1475"/>
        <w:gridCol w:w="1562"/>
        <w:gridCol w:w="1537"/>
        <w:gridCol w:w="1554"/>
        <w:gridCol w:w="1554"/>
        <w:gridCol w:w="1554"/>
        <w:gridCol w:w="970"/>
      </w:tblGrid>
      <w:tr w:rsidR="00976CAE">
        <w:trPr>
          <w:jc w:val="center"/>
        </w:trPr>
        <w:tc>
          <w:tcPr>
            <w:tcW w:w="1530" w:type="dxa"/>
            <w:shd w:val="clear" w:color="auto" w:fill="B5C0D8"/>
          </w:tcPr>
          <w:p w:rsidR="00976CAE" w:rsidRDefault="00112B83">
            <w:pPr>
              <w:pStyle w:val="CellHeader"/>
              <w:jc w:val="center"/>
            </w:pPr>
            <w:r>
              <w:rPr>
                <w:rFonts w:cs="Times New Roman"/>
              </w:rPr>
              <w:t>Naziv aktivnosti</w:t>
            </w:r>
          </w:p>
        </w:tc>
        <w:tc>
          <w:tcPr>
            <w:tcW w:w="1632" w:type="dxa"/>
            <w:shd w:val="clear" w:color="auto" w:fill="B5C0D8"/>
          </w:tcPr>
          <w:p w:rsidR="00976CAE" w:rsidRDefault="00112B83">
            <w:pPr>
              <w:pStyle w:val="CellHeader"/>
              <w:jc w:val="center"/>
            </w:pPr>
            <w:r>
              <w:rPr>
                <w:rFonts w:cs="Times New Roman"/>
              </w:rPr>
              <w:t>Izvršenj</w:t>
            </w:r>
            <w:r>
              <w:rPr>
                <w:rFonts w:cs="Times New Roman"/>
              </w:rPr>
              <w:t>e 2022.</w:t>
            </w:r>
          </w:p>
        </w:tc>
        <w:tc>
          <w:tcPr>
            <w:tcW w:w="1632" w:type="dxa"/>
            <w:shd w:val="clear" w:color="auto" w:fill="B5C0D8"/>
          </w:tcPr>
          <w:p w:rsidR="00976CAE" w:rsidRDefault="00112B83">
            <w:pPr>
              <w:pStyle w:val="CellHeader"/>
              <w:jc w:val="center"/>
            </w:pPr>
            <w:r>
              <w:rPr>
                <w:rFonts w:cs="Times New Roman"/>
              </w:rPr>
              <w:t>Plan 2023.</w:t>
            </w:r>
          </w:p>
        </w:tc>
        <w:tc>
          <w:tcPr>
            <w:tcW w:w="1632" w:type="dxa"/>
            <w:shd w:val="clear" w:color="auto" w:fill="B5C0D8"/>
          </w:tcPr>
          <w:p w:rsidR="00976CAE" w:rsidRDefault="00112B83">
            <w:pPr>
              <w:pStyle w:val="CellHeader"/>
              <w:jc w:val="center"/>
            </w:pPr>
            <w:r>
              <w:rPr>
                <w:rFonts w:cs="Times New Roman"/>
              </w:rPr>
              <w:t>Plan 2024.</w:t>
            </w:r>
          </w:p>
        </w:tc>
        <w:tc>
          <w:tcPr>
            <w:tcW w:w="1632" w:type="dxa"/>
            <w:shd w:val="clear" w:color="auto" w:fill="B5C0D8"/>
          </w:tcPr>
          <w:p w:rsidR="00976CAE" w:rsidRDefault="00112B83">
            <w:pPr>
              <w:pStyle w:val="CellHeader"/>
              <w:jc w:val="center"/>
            </w:pPr>
            <w:r>
              <w:rPr>
                <w:rFonts w:cs="Times New Roman"/>
              </w:rPr>
              <w:t>Plan 2025.</w:t>
            </w:r>
          </w:p>
        </w:tc>
        <w:tc>
          <w:tcPr>
            <w:tcW w:w="1632" w:type="dxa"/>
            <w:shd w:val="clear" w:color="auto" w:fill="B5C0D8"/>
          </w:tcPr>
          <w:p w:rsidR="00976CAE" w:rsidRDefault="00112B83">
            <w:pPr>
              <w:pStyle w:val="CellHeader"/>
              <w:jc w:val="center"/>
            </w:pPr>
            <w:r>
              <w:rPr>
                <w:rFonts w:cs="Times New Roman"/>
              </w:rPr>
              <w:t>Plan 2026.</w:t>
            </w:r>
          </w:p>
        </w:tc>
        <w:tc>
          <w:tcPr>
            <w:tcW w:w="510" w:type="dxa"/>
            <w:shd w:val="clear" w:color="auto" w:fill="B5C0D8"/>
          </w:tcPr>
          <w:p w:rsidR="00976CAE" w:rsidRDefault="00112B83">
            <w:pPr>
              <w:pStyle w:val="CellHeader"/>
              <w:jc w:val="center"/>
            </w:pPr>
            <w:r>
              <w:rPr>
                <w:rFonts w:cs="Times New Roman"/>
              </w:rPr>
              <w:t>Indeks 2024/2023</w:t>
            </w:r>
          </w:p>
        </w:tc>
      </w:tr>
      <w:tr w:rsidR="00976CAE">
        <w:trPr>
          <w:jc w:val="center"/>
        </w:trPr>
        <w:tc>
          <w:tcPr>
            <w:tcW w:w="1530" w:type="dxa"/>
            <w:vAlign w:val="top"/>
          </w:tcPr>
          <w:p w:rsidR="00976CAE" w:rsidRDefault="00112B83">
            <w:pPr>
              <w:pStyle w:val="CellColumn"/>
              <w:jc w:val="left"/>
            </w:pPr>
            <w:r>
              <w:rPr>
                <w:rFonts w:cs="Times New Roman"/>
              </w:rPr>
              <w:t>A841010</w:t>
            </w:r>
          </w:p>
        </w:tc>
        <w:tc>
          <w:tcPr>
            <w:tcW w:w="1632" w:type="dxa"/>
            <w:vAlign w:val="top"/>
          </w:tcPr>
          <w:p w:rsidR="00976CAE" w:rsidRDefault="00112B83">
            <w:pPr>
              <w:jc w:val="right"/>
            </w:pPr>
            <w:r>
              <w:t>00</w:t>
            </w:r>
          </w:p>
        </w:tc>
        <w:tc>
          <w:tcPr>
            <w:tcW w:w="1632" w:type="dxa"/>
            <w:vAlign w:val="top"/>
          </w:tcPr>
          <w:p w:rsidR="00976CAE" w:rsidRDefault="00112B83">
            <w:pPr>
              <w:jc w:val="right"/>
            </w:pPr>
            <w:r>
              <w:t>00</w:t>
            </w:r>
          </w:p>
        </w:tc>
        <w:tc>
          <w:tcPr>
            <w:tcW w:w="1632" w:type="dxa"/>
            <w:vAlign w:val="top"/>
          </w:tcPr>
          <w:p w:rsidR="00976CAE" w:rsidRDefault="00112B83">
            <w:pPr>
              <w:jc w:val="right"/>
            </w:pPr>
            <w:r>
              <w:t>318.572</w:t>
            </w:r>
          </w:p>
        </w:tc>
        <w:tc>
          <w:tcPr>
            <w:tcW w:w="1632" w:type="dxa"/>
            <w:vAlign w:val="top"/>
          </w:tcPr>
          <w:p w:rsidR="00976CAE" w:rsidRDefault="00112B83">
            <w:pPr>
              <w:jc w:val="right"/>
            </w:pPr>
            <w:r>
              <w:t>321.426</w:t>
            </w:r>
          </w:p>
        </w:tc>
        <w:tc>
          <w:tcPr>
            <w:tcW w:w="1632" w:type="dxa"/>
            <w:vAlign w:val="top"/>
          </w:tcPr>
          <w:p w:rsidR="00976CAE" w:rsidRDefault="00112B83">
            <w:pPr>
              <w:jc w:val="right"/>
            </w:pPr>
            <w:r>
              <w:t>321.426</w:t>
            </w:r>
          </w:p>
        </w:tc>
        <w:tc>
          <w:tcPr>
            <w:tcW w:w="510" w:type="dxa"/>
            <w:vAlign w:val="top"/>
          </w:tcPr>
          <w:p w:rsidR="00976CAE" w:rsidRDefault="00112B83">
            <w:pPr>
              <w:jc w:val="right"/>
            </w:pPr>
            <w:r>
              <w:t>0,0</w:t>
            </w:r>
          </w:p>
        </w:tc>
      </w:tr>
    </w:tbl>
    <w:p w:rsidR="00976CAE" w:rsidRDefault="00976CAE">
      <w:pPr>
        <w:jc w:val="left"/>
      </w:pPr>
    </w:p>
    <w:p w:rsidR="00976CAE" w:rsidRDefault="00112B83">
      <w:r>
        <w:t xml:space="preserve">Na temelju Zakona o institucionalnom okviru za korištenje fondova Europske unije u Republici Hrvatskoj, Vlada Republike Hrvatske je donijela Uredbu o tijelima u Sustavu upravljanja i kontrole provedbe Programa za ribarstvo i akvakulturu Republike Hrvatske </w:t>
      </w:r>
      <w:r>
        <w:t xml:space="preserve">za programsko razdoblje 2021.–2027. kojom je Ministarstvo poljoprivrede određeno kao Uptavljačko tijelo, a Agencija z plaćanja u poljoprivredi, ribarstvu i ruralnom razvoju kao jedno od posredničkih tijela. </w:t>
      </w:r>
    </w:p>
    <w:p w:rsidR="00976CAE" w:rsidRDefault="00112B83">
      <w:r>
        <w:t>Služba za analize u ribarstvu provodi jednu od o</w:t>
      </w:r>
      <w:r>
        <w:t>snovnih delegiranih funkcija, a to su tehničke i ekonomske analize u okviru operacija za koje su takve analize predviđene. Obavlja stručne poslove vezane za organizaciju, koordinaciju i planiranje poslova ekonomskih i tehničkih analiza u ribarstvu; obavlja</w:t>
      </w:r>
      <w:r>
        <w:t xml:space="preserve"> analize financijskih izvještaja u svrhu ocjene boniteta podnositelja zahtjeva za mjere EFPRA-a, stručnih mišljenja i ocjene poslovnih planova/investicijskih studija za zaprimljene projekte; bavi se izradom obrazaca poslovnih planova/investicijskih studija</w:t>
      </w:r>
      <w:r>
        <w:t>, metodologije procjene i internih procedura za provođenje mjera EFPRA-a u okvirima svoje nadležnosti; obavlja stručne poslove vezane za praćenje cijena izgradnje i opremanja objekata na tržištu u svrhu procjene opravdanosti troškova ulaganja korisnika mje</w:t>
      </w:r>
      <w:r>
        <w:t>ra EFPRA-a; organizira prikupljanje i razmjenu podataka s tijelima državne uprave i stručnim ustanovama i podataka od dobavljača i proizvođača različite opreme na domaćem i inozemnom tržištu; osmišljava, unaprjeđuje i sudjeluje u provedbi transparentnog po</w:t>
      </w:r>
      <w:r>
        <w:t xml:space="preserve">stupka prikupljanja ponuda korisnika potpora; bavi se i ocjenjivanjem tehnoloških i tehničkih/ekonomskih elemenata ulaganja korisnika sredstava potpore.  </w:t>
      </w:r>
    </w:p>
    <w:p w:rsidR="00976CAE" w:rsidRDefault="00112B83">
      <w:r>
        <w:t>Sektor za financijsko i računovodstveno upravljanje potporama u PT-APPRRR odgovoran je za provedbu fu</w:t>
      </w:r>
      <w:r>
        <w:t xml:space="preserve">nkcije plaćanja, računovodstva i upravljanja dugovima.  </w:t>
      </w:r>
    </w:p>
    <w:p w:rsidR="00976CAE" w:rsidRDefault="00112B83">
      <w:r>
        <w:t>Sukladno programu za ribarstvo i akvakulturu u okvitu tehničke pomoći u novom programskom razdoblju /0 % sredstava javne potpore financirati će se iz sredstava Unije, a 30% iz nacionalnog proračuna.</w:t>
      </w:r>
    </w:p>
    <w:p w:rsidR="00976CAE" w:rsidRDefault="00112B83">
      <w:pPr>
        <w:pStyle w:val="Heading8"/>
        <w:jc w:val="left"/>
      </w:pPr>
      <w:r>
        <w:t>Pokazatelji rezultata</w:t>
      </w:r>
    </w:p>
    <w:tbl>
      <w:tblPr>
        <w:tblStyle w:val="StilTablice"/>
        <w:tblW w:w="10206" w:type="dxa"/>
        <w:jc w:val="center"/>
        <w:tblLook w:val="04A0" w:firstRow="1" w:lastRow="0" w:firstColumn="1" w:lastColumn="0" w:noHBand="0" w:noVBand="1"/>
      </w:tblPr>
      <w:tblGrid>
        <w:gridCol w:w="2292"/>
        <w:gridCol w:w="2292"/>
        <w:gridCol w:w="937"/>
        <w:gridCol w:w="937"/>
        <w:gridCol w:w="937"/>
        <w:gridCol w:w="937"/>
        <w:gridCol w:w="937"/>
        <w:gridCol w:w="937"/>
      </w:tblGrid>
      <w:tr w:rsidR="00976CAE">
        <w:trPr>
          <w:jc w:val="center"/>
        </w:trPr>
        <w:tc>
          <w:tcPr>
            <w:tcW w:w="2245" w:type="dxa"/>
            <w:shd w:val="clear" w:color="auto" w:fill="B5C0D8"/>
          </w:tcPr>
          <w:p w:rsidR="00976CAE" w:rsidRDefault="00112B83">
            <w:pPr>
              <w:jc w:val="center"/>
            </w:pPr>
            <w:r>
              <w:t>Pokazatelj rezultata</w:t>
            </w:r>
          </w:p>
        </w:tc>
        <w:tc>
          <w:tcPr>
            <w:tcW w:w="2245" w:type="dxa"/>
            <w:shd w:val="clear" w:color="auto" w:fill="B5C0D8"/>
          </w:tcPr>
          <w:p w:rsidR="00976CAE" w:rsidRDefault="00112B83">
            <w:pPr>
              <w:pStyle w:val="CellHeader"/>
              <w:jc w:val="center"/>
            </w:pPr>
            <w:r>
              <w:rPr>
                <w:rFonts w:cs="Times New Roman"/>
              </w:rPr>
              <w:t>Definicija</w:t>
            </w:r>
          </w:p>
        </w:tc>
        <w:tc>
          <w:tcPr>
            <w:tcW w:w="918" w:type="dxa"/>
            <w:shd w:val="clear" w:color="auto" w:fill="B5C0D8"/>
          </w:tcPr>
          <w:p w:rsidR="00976CAE" w:rsidRDefault="00112B83">
            <w:pPr>
              <w:pStyle w:val="CellHeader"/>
              <w:jc w:val="center"/>
            </w:pPr>
            <w:r>
              <w:rPr>
                <w:rFonts w:cs="Times New Roman"/>
              </w:rPr>
              <w:t>Jedinica</w:t>
            </w:r>
          </w:p>
        </w:tc>
        <w:tc>
          <w:tcPr>
            <w:tcW w:w="918" w:type="dxa"/>
            <w:shd w:val="clear" w:color="auto" w:fill="B5C0D8"/>
          </w:tcPr>
          <w:p w:rsidR="00976CAE" w:rsidRDefault="00112B83">
            <w:pPr>
              <w:pStyle w:val="CellHeader"/>
              <w:jc w:val="center"/>
            </w:pPr>
            <w:r>
              <w:rPr>
                <w:rFonts w:cs="Times New Roman"/>
              </w:rPr>
              <w:t>Polazna vrijednost</w:t>
            </w:r>
          </w:p>
        </w:tc>
        <w:tc>
          <w:tcPr>
            <w:tcW w:w="918" w:type="dxa"/>
            <w:shd w:val="clear" w:color="auto" w:fill="B5C0D8"/>
          </w:tcPr>
          <w:p w:rsidR="00976CAE" w:rsidRDefault="00112B83">
            <w:pPr>
              <w:pStyle w:val="CellHeader"/>
              <w:jc w:val="center"/>
            </w:pPr>
            <w:r>
              <w:rPr>
                <w:rFonts w:cs="Times New Roman"/>
              </w:rPr>
              <w:t>Izvor podataka</w:t>
            </w:r>
          </w:p>
        </w:tc>
        <w:tc>
          <w:tcPr>
            <w:tcW w:w="918" w:type="dxa"/>
            <w:shd w:val="clear" w:color="auto" w:fill="B5C0D8"/>
          </w:tcPr>
          <w:p w:rsidR="00976CAE" w:rsidRDefault="00112B83">
            <w:pPr>
              <w:pStyle w:val="CellHeader"/>
              <w:jc w:val="center"/>
            </w:pPr>
            <w:r>
              <w:rPr>
                <w:rFonts w:cs="Times New Roman"/>
              </w:rPr>
              <w:t>Ciljana vrijednost (2024.)</w:t>
            </w:r>
          </w:p>
        </w:tc>
        <w:tc>
          <w:tcPr>
            <w:tcW w:w="918" w:type="dxa"/>
            <w:shd w:val="clear" w:color="auto" w:fill="B5C0D8"/>
          </w:tcPr>
          <w:p w:rsidR="00976CAE" w:rsidRDefault="00112B83">
            <w:pPr>
              <w:pStyle w:val="CellHeader"/>
              <w:jc w:val="center"/>
            </w:pPr>
            <w:r>
              <w:rPr>
                <w:rFonts w:cs="Times New Roman"/>
              </w:rPr>
              <w:t>Ciljana vrijednost (2025.)</w:t>
            </w:r>
          </w:p>
        </w:tc>
        <w:tc>
          <w:tcPr>
            <w:tcW w:w="918" w:type="dxa"/>
            <w:shd w:val="clear" w:color="auto" w:fill="B5C0D8"/>
          </w:tcPr>
          <w:p w:rsidR="00976CAE" w:rsidRDefault="00112B83">
            <w:pPr>
              <w:pStyle w:val="CellHeader"/>
              <w:jc w:val="center"/>
            </w:pPr>
            <w:r>
              <w:rPr>
                <w:rFonts w:cs="Times New Roman"/>
              </w:rPr>
              <w:t>Ciljana vrijednost (2026.)</w:t>
            </w:r>
          </w:p>
        </w:tc>
      </w:tr>
      <w:tr w:rsidR="00976CAE">
        <w:trPr>
          <w:jc w:val="center"/>
        </w:trPr>
        <w:tc>
          <w:tcPr>
            <w:tcW w:w="2245" w:type="dxa"/>
            <w:vAlign w:val="top"/>
          </w:tcPr>
          <w:p w:rsidR="00976CAE" w:rsidRDefault="00112B83">
            <w:pPr>
              <w:pStyle w:val="CellColumn"/>
              <w:jc w:val="left"/>
            </w:pPr>
            <w:r>
              <w:rPr>
                <w:rFonts w:cs="Times New Roman"/>
              </w:rPr>
              <w:t>Postotak odrađenih tehničkih i ekonomskih analiza</w:t>
            </w:r>
          </w:p>
        </w:tc>
        <w:tc>
          <w:tcPr>
            <w:tcW w:w="2245" w:type="dxa"/>
            <w:vAlign w:val="top"/>
          </w:tcPr>
          <w:p w:rsidR="00976CAE" w:rsidRDefault="00112B83">
            <w:pPr>
              <w:pStyle w:val="CellColumn"/>
              <w:jc w:val="left"/>
            </w:pPr>
            <w:r>
              <w:rPr>
                <w:rFonts w:cs="Times New Roman"/>
              </w:rPr>
              <w:t>APPRRR provodi delegiranu funkciju tehničkih i ekonomskih analiza zahtjeva za potpore u ribarstvu</w:t>
            </w:r>
          </w:p>
        </w:tc>
        <w:tc>
          <w:tcPr>
            <w:tcW w:w="918" w:type="dxa"/>
          </w:tcPr>
          <w:p w:rsidR="00976CAE" w:rsidRDefault="00112B83">
            <w:pPr>
              <w:jc w:val="center"/>
            </w:pPr>
            <w:r>
              <w:t>%</w:t>
            </w:r>
          </w:p>
        </w:tc>
        <w:tc>
          <w:tcPr>
            <w:tcW w:w="918" w:type="dxa"/>
          </w:tcPr>
          <w:p w:rsidR="00976CAE" w:rsidRDefault="00112B83">
            <w:pPr>
              <w:jc w:val="center"/>
            </w:pPr>
            <w:r>
              <w:t>100</w:t>
            </w:r>
          </w:p>
        </w:tc>
        <w:tc>
          <w:tcPr>
            <w:tcW w:w="918" w:type="dxa"/>
          </w:tcPr>
          <w:p w:rsidR="00976CAE" w:rsidRDefault="00112B83">
            <w:pPr>
              <w:pStyle w:val="CellColumn"/>
              <w:jc w:val="center"/>
            </w:pPr>
            <w:r>
              <w:rPr>
                <w:rFonts w:cs="Times New Roman"/>
              </w:rPr>
              <w:t>APPRRR</w:t>
            </w:r>
          </w:p>
        </w:tc>
        <w:tc>
          <w:tcPr>
            <w:tcW w:w="918" w:type="dxa"/>
          </w:tcPr>
          <w:p w:rsidR="00976CAE" w:rsidRDefault="00112B83">
            <w:pPr>
              <w:jc w:val="center"/>
            </w:pPr>
            <w:r>
              <w:t>100</w:t>
            </w:r>
          </w:p>
        </w:tc>
        <w:tc>
          <w:tcPr>
            <w:tcW w:w="918" w:type="dxa"/>
          </w:tcPr>
          <w:p w:rsidR="00976CAE" w:rsidRDefault="00112B83">
            <w:pPr>
              <w:jc w:val="center"/>
            </w:pPr>
            <w:r>
              <w:t>100</w:t>
            </w:r>
          </w:p>
        </w:tc>
        <w:tc>
          <w:tcPr>
            <w:tcW w:w="918" w:type="dxa"/>
          </w:tcPr>
          <w:p w:rsidR="00976CAE" w:rsidRDefault="00112B83">
            <w:pPr>
              <w:jc w:val="center"/>
            </w:pPr>
            <w:r>
              <w:t>100</w:t>
            </w:r>
          </w:p>
        </w:tc>
      </w:tr>
    </w:tbl>
    <w:p w:rsidR="00976CAE" w:rsidRDefault="00976CAE">
      <w:pPr>
        <w:jc w:val="left"/>
      </w:pPr>
    </w:p>
    <w:sectPr w:rsidR="00976CAE" w:rsidSect="00F91724">
      <w:headerReference w:type="default" r:id="rId7"/>
      <w:footerReference w:type="default" r:id="rId8"/>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E45" w:rsidRDefault="007A7E45" w:rsidP="00F352E6">
      <w:r>
        <w:separator/>
      </w:r>
    </w:p>
  </w:endnote>
  <w:endnote w:type="continuationSeparator" w:id="0">
    <w:p w:rsidR="007A7E45" w:rsidRDefault="007A7E45"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898" w:rsidRPr="00D769ED" w:rsidRDefault="00112B83" w:rsidP="007D4430">
    <w:pPr>
      <w:pStyle w:val="Footer"/>
      <w:pBdr>
        <w:top w:val="none" w:sz="0" w:space="0"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E45" w:rsidRDefault="007A7E45" w:rsidP="00F352E6">
      <w:r>
        <w:separator/>
      </w:r>
    </w:p>
  </w:footnote>
  <w:footnote w:type="continuationSeparator" w:id="0">
    <w:p w:rsidR="007A7E45" w:rsidRDefault="007A7E45"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898" w:rsidRDefault="00112B83" w:rsidP="00A70582">
    <w:pPr>
      <w:pStyle w:val="Header"/>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76"/>
    <w:rsid w:val="00013A1A"/>
    <w:rsid w:val="0002533C"/>
    <w:rsid w:val="000352D6"/>
    <w:rsid w:val="000C0A6C"/>
    <w:rsid w:val="0010779D"/>
    <w:rsid w:val="00112B83"/>
    <w:rsid w:val="0013155A"/>
    <w:rsid w:val="0017490A"/>
    <w:rsid w:val="001E5246"/>
    <w:rsid w:val="0027042C"/>
    <w:rsid w:val="00311AA1"/>
    <w:rsid w:val="00382225"/>
    <w:rsid w:val="00386953"/>
    <w:rsid w:val="00463609"/>
    <w:rsid w:val="00480C76"/>
    <w:rsid w:val="004C01B5"/>
    <w:rsid w:val="0052289C"/>
    <w:rsid w:val="00524A66"/>
    <w:rsid w:val="00526A7C"/>
    <w:rsid w:val="005A70C0"/>
    <w:rsid w:val="005B6ED7"/>
    <w:rsid w:val="005E2D85"/>
    <w:rsid w:val="00633683"/>
    <w:rsid w:val="00674346"/>
    <w:rsid w:val="006B3283"/>
    <w:rsid w:val="007665AA"/>
    <w:rsid w:val="007A7E45"/>
    <w:rsid w:val="007D1C46"/>
    <w:rsid w:val="007D395B"/>
    <w:rsid w:val="007D4430"/>
    <w:rsid w:val="00847495"/>
    <w:rsid w:val="008636E2"/>
    <w:rsid w:val="008A7E2A"/>
    <w:rsid w:val="009359F2"/>
    <w:rsid w:val="0094382E"/>
    <w:rsid w:val="00951B1A"/>
    <w:rsid w:val="00976CAE"/>
    <w:rsid w:val="009E33D3"/>
    <w:rsid w:val="00A021A2"/>
    <w:rsid w:val="00A320E5"/>
    <w:rsid w:val="00A70582"/>
    <w:rsid w:val="00AB5FEA"/>
    <w:rsid w:val="00AB7B4E"/>
    <w:rsid w:val="00B15946"/>
    <w:rsid w:val="00B2737F"/>
    <w:rsid w:val="00B31E2E"/>
    <w:rsid w:val="00B41BF8"/>
    <w:rsid w:val="00BA487B"/>
    <w:rsid w:val="00BA7BD1"/>
    <w:rsid w:val="00BB642B"/>
    <w:rsid w:val="00BF02E9"/>
    <w:rsid w:val="00BF3F24"/>
    <w:rsid w:val="00C7470A"/>
    <w:rsid w:val="00DE2416"/>
    <w:rsid w:val="00E42E87"/>
    <w:rsid w:val="00E62EF0"/>
    <w:rsid w:val="00ED0E3A"/>
    <w:rsid w:val="00F352E6"/>
    <w:rsid w:val="00F67315"/>
    <w:rsid w:val="00F91724"/>
    <w:rsid w:val="00F92AEE"/>
    <w:rsid w:val="00FE4B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409B36"/>
  <w15:docId w15:val="{8B5D75BC-09A8-4A24-AF6B-EA091288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Heading1">
    <w:name w:val="heading 1"/>
    <w:basedOn w:val="Normal"/>
    <w:next w:val="Normal"/>
    <w:link w:val="Heading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Heading2">
    <w:name w:val="heading 2"/>
    <w:basedOn w:val="Normal"/>
    <w:next w:val="Normal"/>
    <w:link w:val="Heading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Heading3">
    <w:name w:val="heading 3"/>
    <w:basedOn w:val="Normal"/>
    <w:next w:val="Normal"/>
    <w:link w:val="Heading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Heading4">
    <w:name w:val="heading 4"/>
    <w:basedOn w:val="Normal"/>
    <w:next w:val="Normal"/>
    <w:link w:val="Heading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Heading5">
    <w:name w:val="heading 5"/>
    <w:basedOn w:val="Normal"/>
    <w:next w:val="Normal"/>
    <w:link w:val="Heading5Char"/>
    <w:qFormat/>
    <w:rsid w:val="00E62EF0"/>
    <w:pPr>
      <w:keepNext/>
      <w:keepLines/>
      <w:jc w:val="left"/>
      <w:outlineLvl w:val="4"/>
    </w:pPr>
    <w:rPr>
      <w:b/>
      <w:sz w:val="26"/>
      <w:szCs w:val="26"/>
    </w:rPr>
  </w:style>
  <w:style w:type="paragraph" w:styleId="Heading6">
    <w:name w:val="heading 6"/>
    <w:basedOn w:val="Normal"/>
    <w:next w:val="Normal"/>
    <w:link w:val="Heading6Char"/>
    <w:qFormat/>
    <w:rsid w:val="00E62EF0"/>
    <w:pPr>
      <w:keepNext/>
      <w:keepLines/>
      <w:jc w:val="left"/>
      <w:outlineLvl w:val="5"/>
    </w:pPr>
    <w:rPr>
      <w:b/>
      <w:sz w:val="24"/>
      <w:szCs w:val="24"/>
    </w:rPr>
  </w:style>
  <w:style w:type="paragraph" w:styleId="Heading7">
    <w:name w:val="heading 7"/>
    <w:basedOn w:val="Normal"/>
    <w:next w:val="Normal"/>
    <w:link w:val="Heading7Char"/>
    <w:qFormat/>
    <w:rsid w:val="00E62EF0"/>
    <w:pPr>
      <w:keepNext/>
      <w:jc w:val="left"/>
      <w:outlineLvl w:val="6"/>
    </w:pPr>
    <w:rPr>
      <w:b/>
      <w:spacing w:val="24"/>
      <w:szCs w:val="22"/>
    </w:rPr>
  </w:style>
  <w:style w:type="paragraph" w:styleId="Heading8">
    <w:name w:val="heading 8"/>
    <w:basedOn w:val="Normal6"/>
    <w:next w:val="Normal"/>
    <w:link w:val="Heading8Char"/>
    <w:uiPriority w:val="9"/>
    <w:unhideWhenUsed/>
    <w:qFormat/>
    <w:rsid w:val="00E62EF0"/>
    <w:pPr>
      <w:keepNext/>
      <w:keepLines/>
      <w:ind w:left="0"/>
      <w:outlineLvl w:val="7"/>
    </w:pPr>
    <w:rPr>
      <w:b/>
    </w:rPr>
  </w:style>
  <w:style w:type="paragraph" w:styleId="Heading9">
    <w:name w:val="heading 9"/>
    <w:basedOn w:val="Normal"/>
    <w:next w:val="Normal"/>
    <w:link w:val="Heading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1B1A"/>
    <w:rPr>
      <w:rFonts w:ascii="Times New Roman" w:eastAsia="Times New Roman" w:hAnsi="Times New Roman" w:cs="Times New Roman"/>
      <w:b/>
      <w:spacing w:val="20"/>
      <w:sz w:val="32"/>
      <w:szCs w:val="32"/>
      <w:shd w:val="clear" w:color="auto" w:fill="E6E6E6"/>
      <w:lang w:val="sl-SI"/>
    </w:rPr>
  </w:style>
  <w:style w:type="character" w:customStyle="1" w:styleId="Heading2Char">
    <w:name w:val="Heading 2 Char"/>
    <w:basedOn w:val="DefaultParagraphFont"/>
    <w:link w:val="Heading2"/>
    <w:rsid w:val="00E62EF0"/>
    <w:rPr>
      <w:rFonts w:ascii="Times New Roman" w:eastAsia="Times New Roman" w:hAnsi="Times New Roman" w:cs="Times New Roman"/>
      <w:b/>
      <w:spacing w:val="20"/>
      <w:sz w:val="30"/>
      <w:szCs w:val="30"/>
      <w:shd w:val="clear" w:color="auto" w:fill="E6E6E6"/>
      <w:lang w:val="sl-SI"/>
    </w:rPr>
  </w:style>
  <w:style w:type="character" w:customStyle="1" w:styleId="Heading3Char">
    <w:name w:val="Heading 3 Char"/>
    <w:basedOn w:val="DefaultParagraphFont"/>
    <w:link w:val="Heading3"/>
    <w:rsid w:val="00FE4B89"/>
    <w:rPr>
      <w:rFonts w:ascii="Times New Roman" w:eastAsia="Times New Roman" w:hAnsi="Times New Roman" w:cs="Arial"/>
      <w:b/>
      <w:iCs/>
      <w:spacing w:val="20"/>
      <w:sz w:val="28"/>
      <w:szCs w:val="28"/>
      <w:shd w:val="clear" w:color="auto" w:fill="E6E6E6"/>
      <w:lang w:val="sl-SI"/>
    </w:rPr>
  </w:style>
  <w:style w:type="character" w:customStyle="1" w:styleId="Heading4Char">
    <w:name w:val="Heading 4 Char"/>
    <w:basedOn w:val="DefaultParagraphFont"/>
    <w:link w:val="Heading4"/>
    <w:rsid w:val="00951B1A"/>
    <w:rPr>
      <w:rFonts w:ascii="Times New Roman" w:eastAsia="Times New Roman" w:hAnsi="Times New Roman" w:cs="Times New Roman"/>
      <w:b/>
      <w:bCs/>
      <w:sz w:val="28"/>
      <w:szCs w:val="28"/>
      <w:lang w:val="sl-SI"/>
    </w:rPr>
  </w:style>
  <w:style w:type="character" w:customStyle="1" w:styleId="Heading5Char">
    <w:name w:val="Heading 5 Char"/>
    <w:basedOn w:val="DefaultParagraphFont"/>
    <w:link w:val="Heading5"/>
    <w:rsid w:val="00E62EF0"/>
    <w:rPr>
      <w:rFonts w:ascii="Times New Roman" w:eastAsia="Times New Roman" w:hAnsi="Times New Roman" w:cs="Times New Roman"/>
      <w:b/>
      <w:sz w:val="26"/>
      <w:szCs w:val="26"/>
      <w:lang w:val="sl-SI"/>
    </w:rPr>
  </w:style>
  <w:style w:type="character" w:customStyle="1" w:styleId="Heading6Char">
    <w:name w:val="Heading 6 Char"/>
    <w:basedOn w:val="DefaultParagraphFont"/>
    <w:link w:val="Heading6"/>
    <w:rsid w:val="00E62EF0"/>
    <w:rPr>
      <w:rFonts w:ascii="Times New Roman" w:eastAsia="Times New Roman" w:hAnsi="Times New Roman" w:cs="Times New Roman"/>
      <w:b/>
      <w:sz w:val="24"/>
      <w:szCs w:val="24"/>
      <w:lang w:val="sl-SI"/>
    </w:rPr>
  </w:style>
  <w:style w:type="character" w:customStyle="1" w:styleId="Heading7Char">
    <w:name w:val="Heading 7 Char"/>
    <w:basedOn w:val="DefaultParagraphFont"/>
    <w:link w:val="Heading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Header">
    <w:name w:val="header"/>
    <w:basedOn w:val="Normal"/>
    <w:link w:val="HeaderChar"/>
    <w:semiHidden/>
    <w:rsid w:val="00480C76"/>
    <w:pPr>
      <w:pBdr>
        <w:bottom w:val="single" w:sz="4" w:space="1" w:color="auto"/>
      </w:pBdr>
      <w:tabs>
        <w:tab w:val="center" w:pos="4536"/>
        <w:tab w:val="right" w:pos="9072"/>
      </w:tabs>
    </w:pPr>
    <w:rPr>
      <w:sz w:val="16"/>
    </w:rPr>
  </w:style>
  <w:style w:type="character" w:customStyle="1" w:styleId="HeaderChar">
    <w:name w:val="Header Char"/>
    <w:basedOn w:val="DefaultParagraphFont"/>
    <w:link w:val="Header"/>
    <w:semiHidden/>
    <w:rsid w:val="00480C76"/>
    <w:rPr>
      <w:rFonts w:ascii="Times New Roman" w:eastAsia="Times New Roman" w:hAnsi="Times New Roman" w:cs="Times New Roman"/>
      <w:sz w:val="16"/>
      <w:szCs w:val="20"/>
      <w:lang w:val="sl-SI"/>
    </w:rPr>
  </w:style>
  <w:style w:type="paragraph" w:styleId="Footer">
    <w:name w:val="footer"/>
    <w:basedOn w:val="Normal"/>
    <w:link w:val="FooterChar"/>
    <w:semiHidden/>
    <w:rsid w:val="00480C76"/>
    <w:pPr>
      <w:pBdr>
        <w:top w:val="single" w:sz="4" w:space="1" w:color="auto"/>
      </w:pBdr>
      <w:tabs>
        <w:tab w:val="right" w:pos="9540"/>
      </w:tabs>
      <w:ind w:right="-21"/>
      <w:jc w:val="left"/>
    </w:pPr>
    <w:rPr>
      <w:sz w:val="20"/>
    </w:rPr>
  </w:style>
  <w:style w:type="character" w:customStyle="1" w:styleId="FooterChar">
    <w:name w:val="Footer Char"/>
    <w:basedOn w:val="DefaultParagraphFont"/>
    <w:link w:val="Footer"/>
    <w:semiHidden/>
    <w:rsid w:val="00480C76"/>
    <w:rPr>
      <w:rFonts w:ascii="Times New Roman" w:eastAsia="Times New Roman" w:hAnsi="Times New Roman" w:cs="Times New Roman"/>
      <w:sz w:val="20"/>
      <w:szCs w:val="20"/>
      <w:lang w:val="sl-SI"/>
    </w:rPr>
  </w:style>
  <w:style w:type="character" w:styleId="PageNumber">
    <w:name w:val="page number"/>
    <w:basedOn w:val="DefaultParagraphFont"/>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DefaultParagraphFont"/>
    <w:link w:val="Normal3"/>
    <w:rsid w:val="00480C76"/>
    <w:rPr>
      <w:rFonts w:ascii="Times New Roman" w:eastAsia="Times New Roman" w:hAnsi="Times New Roman" w:cs="Times New Roman"/>
      <w:szCs w:val="20"/>
      <w:lang w:val="sl-SI"/>
    </w:rPr>
  </w:style>
  <w:style w:type="character" w:customStyle="1" w:styleId="Normal5Char">
    <w:name w:val="Normal 5 Char"/>
    <w:basedOn w:val="DefaultParagraphFont"/>
    <w:link w:val="Normal5"/>
    <w:rsid w:val="00480C76"/>
    <w:rPr>
      <w:rFonts w:ascii="Times New Roman" w:eastAsia="Times New Roman" w:hAnsi="Times New Roman" w:cs="Times New Roman"/>
      <w:szCs w:val="20"/>
      <w:lang w:val="sl-SI"/>
    </w:rPr>
  </w:style>
  <w:style w:type="character" w:customStyle="1" w:styleId="Normal4Char">
    <w:name w:val="Normal 4 Char"/>
    <w:basedOn w:val="DefaultParagraphFont"/>
    <w:link w:val="Normal4"/>
    <w:rsid w:val="00480C76"/>
    <w:rPr>
      <w:rFonts w:ascii="Times New Roman" w:eastAsia="Times New Roman" w:hAnsi="Times New Roman" w:cs="Times New Roman"/>
      <w:szCs w:val="20"/>
      <w:lang w:val="sl-SI"/>
    </w:rPr>
  </w:style>
  <w:style w:type="character" w:styleId="Emphasis">
    <w:name w:val="Emphasis"/>
    <w:basedOn w:val="DefaultParagraphFont"/>
    <w:qFormat/>
    <w:rsid w:val="00480C76"/>
    <w:rPr>
      <w:b/>
      <w:bCs/>
      <w:i w:val="0"/>
      <w:iCs w:val="0"/>
    </w:rPr>
  </w:style>
  <w:style w:type="character" w:styleId="Strong">
    <w:name w:val="Strong"/>
    <w:basedOn w:val="DefaultParagraphFont"/>
    <w:qFormat/>
    <w:rsid w:val="00480C76"/>
    <w:rPr>
      <w:b/>
      <w:bCs/>
    </w:rPr>
  </w:style>
  <w:style w:type="character" w:styleId="Hyperlink">
    <w:name w:val="Hyperlink"/>
    <w:basedOn w:val="DefaultParagraphFont"/>
    <w:rsid w:val="00480C76"/>
    <w:rPr>
      <w:color w:val="0000FF"/>
      <w:u w:val="single"/>
    </w:rPr>
  </w:style>
  <w:style w:type="table" w:styleId="TableGrid">
    <w:name w:val="Table Grid"/>
    <w:basedOn w:val="TableNormal"/>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DefaultParagraphFont"/>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Heading8Char">
    <w:name w:val="Heading 8 Char"/>
    <w:basedOn w:val="DefaultParagraphFont"/>
    <w:link w:val="Heading8"/>
    <w:uiPriority w:val="9"/>
    <w:rsid w:val="00E62EF0"/>
    <w:rPr>
      <w:rFonts w:ascii="Times New Roman" w:eastAsia="Times New Roman" w:hAnsi="Times New Roman" w:cs="Times New Roman"/>
      <w:b/>
      <w:szCs w:val="20"/>
      <w:lang w:val="sl-SI"/>
    </w:rPr>
  </w:style>
  <w:style w:type="character" w:customStyle="1" w:styleId="Heading9Char">
    <w:name w:val="Heading 9 Char"/>
    <w:basedOn w:val="DefaultParagraphFont"/>
    <w:link w:val="Heading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TableNormal"/>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TableNormal"/>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8F94D-C1D4-4B16-A408-6702D0EC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8792</Words>
  <Characters>50115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Marasović</dc:creator>
  <cp:lastModifiedBy>Gordana Ivašković</cp:lastModifiedBy>
  <cp:revision>15</cp:revision>
  <dcterms:created xsi:type="dcterms:W3CDTF">2016-10-28T08:23:00Z</dcterms:created>
  <dcterms:modified xsi:type="dcterms:W3CDTF">2023-12-21T11:36:00Z</dcterms:modified>
</cp:coreProperties>
</file>