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6A" w:rsidRDefault="00A46E6A" w:rsidP="00A46E6A">
      <w:pPr>
        <w:jc w:val="center"/>
        <w:textAlignment w:val="baseline"/>
        <w:rPr>
          <w:color w:val="231F20"/>
        </w:rPr>
      </w:pPr>
      <w:r>
        <w:rPr>
          <w:rFonts w:ascii="Minion Pro" w:hAnsi="Minion Pro"/>
          <w:b/>
          <w:bCs/>
          <w:color w:val="231F20"/>
          <w:bdr w:val="none" w:sz="0" w:space="0" w:color="auto" w:frame="1"/>
        </w:rPr>
        <w:t>OBRAZAC 1. Evidencija o provedbi eko sheme</w:t>
      </w:r>
    </w:p>
    <w:p w:rsidR="00A46E6A" w:rsidRDefault="00A46E6A" w:rsidP="00A46E6A">
      <w:pPr>
        <w:jc w:val="center"/>
        <w:textAlignment w:val="baseline"/>
        <w:rPr>
          <w:color w:val="231F20"/>
        </w:rPr>
      </w:pPr>
      <w:r>
        <w:rPr>
          <w:rFonts w:ascii="Minion Pro" w:hAnsi="Minion Pro"/>
          <w:b/>
          <w:bCs/>
          <w:color w:val="231F20"/>
          <w:bdr w:val="none" w:sz="0" w:space="0" w:color="auto" w:frame="1"/>
        </w:rPr>
        <w:t>Intervencije 31.02. Ekstenzivno gospodarenje pašnjacima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46E6A" w:rsidTr="00A46E6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EVIDENCIJA O PROVEDBI OBVEZA ZA INTERVENCIJU</w:t>
            </w:r>
          </w:p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31.02. Ekstenzivno gospodarenje pašnjacima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648"/>
      </w:tblGrid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1. DIO – OPĆI PODACI ZA INTERVENCIJU</w:t>
            </w:r>
          </w:p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31.02. Ekstenzivno gospodarenje pašnjacima</w:t>
            </w:r>
          </w:p>
        </w:tc>
      </w:tr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NAZIV PG I ODGOVORNE OSOBE:</w:t>
            </w:r>
          </w:p>
        </w:tc>
      </w:tr>
      <w:tr w:rsidR="00A46E6A" w:rsidTr="00A46E6A"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OIB: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MIBPG:</w:t>
            </w:r>
          </w:p>
        </w:tc>
      </w:tr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SJEDIŠTE PG:</w:t>
            </w:r>
          </w:p>
        </w:tc>
      </w:tr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GODINA ZA KOJU SE VODI EVIDENCIJA: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592"/>
        <w:gridCol w:w="74"/>
        <w:gridCol w:w="1530"/>
        <w:gridCol w:w="1411"/>
        <w:gridCol w:w="2666"/>
      </w:tblGrid>
      <w:tr w:rsidR="00A46E6A" w:rsidTr="00A46E6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1. DIO – PROVEDENE OBVEZE ZA INTERVENCIJU</w:t>
            </w:r>
          </w:p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31.02. Ekstenzivno gospodarenje pašnjacima</w:t>
            </w:r>
          </w:p>
        </w:tc>
      </w:tr>
      <w:tr w:rsidR="00A46E6A" w:rsidTr="00A46E6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1. Izrada godišnjeg Plana pašarenja za svaku ARKOD parcelu pašnjaka i krških pašnjaka u okviru obaveznog individualnog savjetovanja poljoprivrednika.</w:t>
            </w:r>
          </w:p>
        </w:tc>
      </w:tr>
      <w:tr w:rsidR="00A46E6A" w:rsidTr="00A46E6A">
        <w:tc>
          <w:tcPr>
            <w:tcW w:w="1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Ime i prezime osobe koja je provela individualno savjetovanje</w:t>
            </w:r>
          </w:p>
        </w:tc>
        <w:tc>
          <w:tcPr>
            <w:tcW w:w="3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</w:p>
        </w:tc>
      </w:tr>
      <w:tr w:rsidR="00A46E6A" w:rsidTr="00A46E6A">
        <w:tc>
          <w:tcPr>
            <w:tcW w:w="1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Datum provedenog savjetovanja</w:t>
            </w:r>
          </w:p>
        </w:tc>
        <w:tc>
          <w:tcPr>
            <w:tcW w:w="3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</w:p>
        </w:tc>
      </w:tr>
      <w:tr w:rsidR="00A46E6A" w:rsidTr="00A46E6A">
        <w:tc>
          <w:tcPr>
            <w:tcW w:w="1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Naziv i broj dokumenta kojim se individualno savjetovanje potvrđuje</w:t>
            </w:r>
          </w:p>
        </w:tc>
        <w:tc>
          <w:tcPr>
            <w:tcW w:w="3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</w:p>
        </w:tc>
      </w:tr>
      <w:tr w:rsidR="00A46E6A" w:rsidTr="00A46E6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2. Plan pašarenja na pašnjacima i krškim pašnjacima </w:t>
            </w:r>
          </w:p>
        </w:tc>
      </w:tr>
      <w:tr w:rsidR="00A46E6A" w:rsidTr="00A46E6A"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R.b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ARKOD ID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Datum (period ispaše)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Vrsta stoke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Broj životinja po vrsti stoke</w:t>
            </w:r>
          </w:p>
        </w:tc>
      </w:tr>
      <w:tr w:rsidR="00A46E6A" w:rsidTr="00A46E6A"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p w:rsidR="00467623" w:rsidRDefault="00467623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 w:rsidP="00A46E6A">
      <w:pPr>
        <w:jc w:val="center"/>
        <w:textAlignment w:val="baseline"/>
        <w:rPr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  <w:bdr w:val="none" w:sz="0" w:space="0" w:color="auto" w:frame="1"/>
        </w:rPr>
        <w:lastRenderedPageBreak/>
        <w:t>OBRAZAC 2. Evidencija o provedbi eko sheme</w:t>
      </w:r>
    </w:p>
    <w:p w:rsidR="00A46E6A" w:rsidRDefault="00A46E6A" w:rsidP="00A46E6A">
      <w:pPr>
        <w:jc w:val="center"/>
        <w:textAlignment w:val="baseline"/>
        <w:rPr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  <w:bdr w:val="none" w:sz="0" w:space="0" w:color="auto" w:frame="1"/>
        </w:rPr>
        <w:t>Intervencije 31.04. Uporaba stajskog gnoja na oraničnim površinama</w:t>
      </w:r>
    </w:p>
    <w:tbl>
      <w:tblPr>
        <w:tblW w:w="5244" w:type="pct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46E6A" w:rsidTr="00A46E6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EVIDENCIJA O PROVEDBI OBVEZA ZA INTERVENCIJU</w:t>
            </w:r>
          </w:p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31.04. Uporaba stajskog gnoja na oraničnim površinama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tbl>
      <w:tblPr>
        <w:tblW w:w="5244" w:type="pct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5087"/>
      </w:tblGrid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1. DIO – OPĆI PODACI ZA INTERVENCIJU</w:t>
            </w:r>
          </w:p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31.04. Uporaba stajskog gnoja na oraničnim površinama</w:t>
            </w:r>
          </w:p>
        </w:tc>
      </w:tr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NAZIV PG I ODGOVORNE OSOBE:</w:t>
            </w:r>
          </w:p>
        </w:tc>
      </w:tr>
      <w:tr w:rsidR="00A46E6A" w:rsidTr="00A46E6A">
        <w:tc>
          <w:tcPr>
            <w:tcW w:w="2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OIB:</w:t>
            </w: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MIBPG:</w:t>
            </w:r>
          </w:p>
        </w:tc>
      </w:tr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SJEDIŠTE PG:</w:t>
            </w:r>
          </w:p>
        </w:tc>
      </w:tr>
      <w:tr w:rsidR="00A46E6A" w:rsidTr="00A46E6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GODINA ZA KOJU SE VODI EVIDENCIJA: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tbl>
      <w:tblPr>
        <w:tblW w:w="5244" w:type="pct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46E6A" w:rsidTr="00A46E6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2. DIO – PROVEDENE OBVEZE ZA INTERVENCIJU</w:t>
            </w:r>
          </w:p>
          <w:p w:rsidR="00A46E6A" w:rsidRDefault="00A46E6A">
            <w:pPr>
              <w:jc w:val="center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31.04. Uporaba stajskog gnoja na oraničnim površinama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tbl>
      <w:tblPr>
        <w:tblW w:w="9498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345"/>
        <w:gridCol w:w="928"/>
        <w:gridCol w:w="2010"/>
        <w:gridCol w:w="1846"/>
        <w:gridCol w:w="1801"/>
        <w:gridCol w:w="111"/>
        <w:gridCol w:w="120"/>
        <w:gridCol w:w="552"/>
      </w:tblGrid>
      <w:tr w:rsidR="00A46E6A" w:rsidTr="00A46E6A">
        <w:trPr>
          <w:trHeight w:val="30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Ime i prezime osobe koja je provela individualno savjetovanje vezano za izradu plana gnojidbe</w:t>
            </w:r>
          </w:p>
        </w:tc>
        <w:tc>
          <w:tcPr>
            <w:tcW w:w="3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6E6A" w:rsidTr="00A46E6A">
        <w:trPr>
          <w:trHeight w:val="30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Datum provedenog savjetovanja</w:t>
            </w:r>
          </w:p>
        </w:tc>
        <w:tc>
          <w:tcPr>
            <w:tcW w:w="3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6E6A" w:rsidTr="00A46E6A">
        <w:trPr>
          <w:trHeight w:val="30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Naziv i broj dokumenta kojim se individualno savjetovanje potvrđuje</w:t>
            </w:r>
          </w:p>
        </w:tc>
        <w:tc>
          <w:tcPr>
            <w:tcW w:w="3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6E6A" w:rsidTr="00A46E6A">
        <w:trPr>
          <w:trHeight w:val="300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textAlignment w:val="baseline"/>
              <w:rPr>
                <w:rFonts w:ascii="Minion Pro" w:hAnsi="Minion Pro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7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Minion Pro" w:hAnsi="Minion Pro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1. Plan gnojidbe za sve ARKOD parcele na kojima se provodi intervencija</w:t>
            </w:r>
          </w:p>
          <w:p w:rsidR="00A46E6A" w:rsidRDefault="00A46E6A">
            <w:pPr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Stajski gnoj potrebno je inkorporirati u tlo unutar 48 sati od iznošenja na oraničnu površinu na način da se gubici dušika smanje na najmanju moguću mjeru.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R.b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ARKOD ID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Datum i sat  iznošenja gnoja na oraničnu površinu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Datum i sat inkorporiranja gnoja u tlo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Količina (t/ha)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Vrsta gnojiva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A" w:rsidRDefault="00A46E6A">
            <w:pP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 Podaci o kupljenim količinama stajskog gnoja 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moraju sadržavati podatke o količini kupljenog stajskog gnoja te MIBPG i naziv poljoprivrednika od kojeg je kupljen stajski gnoj.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R.b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Vrsta stajskog gnoja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  <w:t>(iz Tablice 20, Priloga 1. Pravilnika)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Količina kupljenog gnoja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Naziv prodavatelja i MIBPG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  <w:t>prodavatelja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Broj i datum računa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</w:rPr>
      </w:pP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876"/>
        <w:gridCol w:w="2693"/>
        <w:gridCol w:w="3124"/>
      </w:tblGrid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kern w:val="2"/>
                <w:sz w:val="18"/>
                <w:szCs w:val="18"/>
                <w14:ligatures w14:val="standardContextual"/>
              </w:rPr>
              <w:t>3. DIO – PODACI O USLUŽNOM TOVU STOKE ZA INTERVENCIJU</w:t>
            </w:r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31.04. Uporaba stajskog gnoja na oraničnim površinama</w:t>
            </w:r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PRILOG UGOVORU O USLUŽNOM TOVU</w:t>
            </w:r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(uz Ugovor o uslužnom tovu korisnik je obvezan priložiti obrazac potpisan od strane organizatora uslužnog tova i korisnika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uslužnog tova te dostaviti Agenciji za plaćanja do 31. prosinca 2024. godine)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color w:val="231F20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1. Podaci o korisniku  koji uslužno tovi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NAZIV PG I ODGOVORNE OSOBE: </w:t>
            </w:r>
          </w:p>
        </w:tc>
      </w:tr>
      <w:tr w:rsidR="00A46E6A" w:rsidTr="00A46E6A">
        <w:trPr>
          <w:trHeight w:val="300"/>
        </w:trPr>
        <w:tc>
          <w:tcPr>
            <w:tcW w:w="6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OIB: 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MIBPG: 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SJEDIŠTE PG: 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POTPIS ODGOVORNE OSOBE:</w:t>
            </w:r>
          </w:p>
          <w:p w:rsidR="00A46E6A" w:rsidRDefault="00A46E6A">
            <w:pPr>
              <w:spacing w:line="276" w:lineRule="auto"/>
              <w:textAlignment w:val="baseline"/>
              <w:rPr>
                <w:color w:val="231F20"/>
                <w:sz w:val="18"/>
                <w:szCs w:val="18"/>
              </w:rPr>
            </w:pPr>
          </w:p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color w:val="231F20"/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2. Podaci o organizatoru uslužnog tova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NAZIV PG I ODGOVORNE OSOBE: </w:t>
            </w:r>
          </w:p>
        </w:tc>
      </w:tr>
      <w:tr w:rsidR="00A46E6A" w:rsidTr="00A46E6A">
        <w:trPr>
          <w:trHeight w:val="300"/>
        </w:trPr>
        <w:tc>
          <w:tcPr>
            <w:tcW w:w="6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OIB: 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MIBPG: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SJEDIŠTE PG: 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 ODGOVORNE OSOBE:</w:t>
            </w:r>
          </w:p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 xml:space="preserve">3. Podaci o uslužnom tovu </w:t>
            </w:r>
            <w:r>
              <w:rPr>
                <w:color w:val="231F20"/>
                <w:sz w:val="18"/>
                <w:szCs w:val="18"/>
              </w:rPr>
              <w:t>moraju sadržavati podatke: 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broj i/ili identifikacijsku oznaku životinja upisanih u JRDŽ u uslužnom tovu kod korisnika, razdoblje uslužnog tova za svaku životinju i proizvedenu količinu ustupljenog stajskog gnoja korisniku proizvedenog tijekom razdoblja uslužnog tova po vrstama stajskog gnoja navedenima u Tablici 17. iz Priloga 1. ovoga Pravilnika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F20"/>
                <w:sz w:val="18"/>
                <w:szCs w:val="18"/>
              </w:rPr>
              <w:t>GOVEDA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R.b</w:t>
            </w:r>
            <w:proofErr w:type="spellEnd"/>
            <w:r>
              <w:rPr>
                <w:color w:val="231F20"/>
                <w:sz w:val="18"/>
                <w:szCs w:val="18"/>
              </w:rPr>
              <w:t>.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Identifikacijska oznaka životinje upisane u JRDŽ u uslužnom tovu kod korisnika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Razdoblje uslužnog tova (od datum do datum) za svaku životinju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Količina stajskog gnoja/</w:t>
            </w:r>
            <w:proofErr w:type="spellStart"/>
            <w:r>
              <w:rPr>
                <w:color w:val="231F20"/>
                <w:sz w:val="18"/>
                <w:szCs w:val="18"/>
              </w:rPr>
              <w:t>gnojovke</w:t>
            </w:r>
            <w:proofErr w:type="spellEnd"/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(t/ha)*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Ukupno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   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SVINJE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bookmarkStart w:id="0" w:name="_Hlk151115935"/>
            <w:proofErr w:type="spellStart"/>
            <w:r>
              <w:rPr>
                <w:color w:val="231F20"/>
                <w:sz w:val="18"/>
                <w:szCs w:val="18"/>
              </w:rPr>
              <w:t>R.b</w:t>
            </w:r>
            <w:proofErr w:type="spellEnd"/>
            <w:r>
              <w:rPr>
                <w:color w:val="231F20"/>
                <w:sz w:val="18"/>
                <w:szCs w:val="18"/>
              </w:rPr>
              <w:t>.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Broj  životinja u jednom turnusu upisan u JRDŽ u uslužnom tovu kod korisnika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Razdoblje uslužnog tova (od datum do datum)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jc w:val="center"/>
              <w:textAlignment w:val="baseline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Količina stajskog gnoja/</w:t>
            </w:r>
            <w:proofErr w:type="spellStart"/>
            <w:r>
              <w:rPr>
                <w:color w:val="231F20"/>
                <w:sz w:val="18"/>
                <w:szCs w:val="18"/>
              </w:rPr>
              <w:t>gnojovke</w:t>
            </w:r>
            <w:proofErr w:type="spellEnd"/>
          </w:p>
          <w:p w:rsidR="00A46E6A" w:rsidRDefault="00A46E6A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(t/ha)*</w:t>
            </w:r>
          </w:p>
        </w:tc>
        <w:bookmarkEnd w:id="0"/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KOPITARI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R.b</w:t>
            </w:r>
            <w:proofErr w:type="spellEnd"/>
            <w:r>
              <w:rPr>
                <w:color w:val="231F20"/>
                <w:sz w:val="18"/>
                <w:szCs w:val="18"/>
              </w:rPr>
              <w:t>.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Identifikacijska oznaka životinje upisane u JRDŽ u uslužnom tovu kod korisnika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Razdoblje uslužnog tova (od datum do datum) za svaku životinju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Količina stajskog gnoja (t/ha)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OVCE I KOZE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R.b</w:t>
            </w:r>
            <w:proofErr w:type="spellEnd"/>
            <w:r>
              <w:rPr>
                <w:color w:val="231F20"/>
                <w:sz w:val="18"/>
                <w:szCs w:val="18"/>
              </w:rPr>
              <w:t>.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Identifikacijska oznaka životinje upisane u JRDŽ u uslužnom tovu kod korisnika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Razdoblje uslužnog tova (od datum do datum)  za svaku životinju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Količina stajskog gnoja (t/ha)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PERAD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R.b</w:t>
            </w:r>
            <w:proofErr w:type="spellEnd"/>
            <w:r>
              <w:rPr>
                <w:color w:val="231F20"/>
                <w:sz w:val="18"/>
                <w:szCs w:val="18"/>
              </w:rPr>
              <w:t>.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Broj životinja u jednom turnusu upisan u JRDŽ u uslužnom tovu kod korisnika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Razdoblje uslužnog tova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Količina stajskog gnoja (t/ha)</w:t>
            </w: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A46E6A" w:rsidTr="00A46E6A">
        <w:trPr>
          <w:trHeight w:val="3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6A" w:rsidRDefault="00A46E6A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</w:tbl>
    <w:p w:rsidR="00A46E6A" w:rsidRDefault="00A46E6A" w:rsidP="00A46E6A">
      <w:pPr>
        <w:spacing w:after="160" w:line="256" w:lineRule="auto"/>
        <w:rPr>
          <w:rFonts w:eastAsia="Calibri"/>
          <w:kern w:val="2"/>
          <w:sz w:val="18"/>
          <w:szCs w:val="18"/>
          <w:lang w:eastAsia="en-US"/>
          <w14:ligatures w14:val="standardContextual"/>
        </w:rPr>
      </w:pPr>
      <w:r>
        <w:rPr>
          <w:rFonts w:eastAsia="Calibri"/>
          <w:kern w:val="2"/>
          <w:sz w:val="18"/>
          <w:szCs w:val="18"/>
          <w:lang w:eastAsia="en-US"/>
          <w14:ligatures w14:val="standardContextual"/>
        </w:rPr>
        <w:t>* Vrijednosti u m</w:t>
      </w:r>
      <w:r>
        <w:rPr>
          <w:rFonts w:eastAsia="Calibri"/>
          <w:kern w:val="2"/>
          <w:sz w:val="18"/>
          <w:szCs w:val="18"/>
          <w:vertAlign w:val="superscript"/>
          <w:lang w:eastAsia="en-US"/>
          <w14:ligatures w14:val="standardContextual"/>
        </w:rPr>
        <w:t>3</w:t>
      </w:r>
      <w:r>
        <w:rPr>
          <w:rFonts w:eastAsia="Calibri"/>
          <w:kern w:val="2"/>
          <w:sz w:val="18"/>
          <w:szCs w:val="18"/>
          <w:lang w:eastAsia="en-US"/>
          <w14:ligatures w14:val="standardContextual"/>
        </w:rPr>
        <w:t>/ha odgovaraju t/ha.</w:t>
      </w:r>
    </w:p>
    <w:p w:rsidR="00A46E6A" w:rsidRDefault="00A46E6A" w:rsidP="00A46E6A">
      <w:pPr>
        <w:textAlignment w:val="baseline"/>
        <w:rPr>
          <w:rFonts w:ascii="Minion Pro" w:hAnsi="Minion Pro"/>
        </w:rPr>
      </w:pPr>
    </w:p>
    <w:p w:rsidR="00A46E6A" w:rsidRDefault="00A46E6A" w:rsidP="00A46E6A">
      <w:pPr>
        <w:textAlignment w:val="baseline"/>
        <w:rPr>
          <w:rFonts w:ascii="Minion Pro" w:hAnsi="Minion Pro"/>
          <w:b/>
          <w:bCs/>
          <w:color w:val="231F20"/>
          <w:bdr w:val="none" w:sz="0" w:space="0" w:color="auto" w:frame="1"/>
        </w:rPr>
      </w:pPr>
    </w:p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/>
    <w:p w:rsidR="00A46E6A" w:rsidRDefault="00A46E6A" w:rsidP="00A46E6A">
      <w:pPr>
        <w:jc w:val="center"/>
        <w:rPr>
          <w:color w:val="231F20"/>
          <w:kern w:val="2"/>
          <w:sz w:val="22"/>
          <w:szCs w:val="22"/>
          <w14:ligatures w14:val="standardContextual"/>
        </w:rPr>
      </w:pPr>
      <w:r>
        <w:rPr>
          <w:rFonts w:ascii="Minion Pro" w:hAnsi="Minion Pro"/>
          <w:b/>
          <w:bCs/>
          <w:color w:val="231F20"/>
          <w:kern w:val="2"/>
          <w:sz w:val="22"/>
          <w:szCs w:val="22"/>
          <w14:ligatures w14:val="standardContextual"/>
        </w:rPr>
        <w:lastRenderedPageBreak/>
        <w:t>OBRAZAC 3. Evidencija o provedbi eko sheme</w:t>
      </w:r>
    </w:p>
    <w:p w:rsidR="00A46E6A" w:rsidRDefault="00A46E6A" w:rsidP="00A46E6A">
      <w:pPr>
        <w:jc w:val="center"/>
        <w:rPr>
          <w:rFonts w:ascii="Minion Pro" w:eastAsia="Minion Pro" w:hAnsi="Minion Pro" w:cs="Minion Pro"/>
          <w:kern w:val="2"/>
          <w:sz w:val="22"/>
          <w:szCs w:val="22"/>
          <w:lang w:eastAsia="en-US"/>
          <w14:ligatures w14:val="standardContextual"/>
        </w:rPr>
      </w:pPr>
      <w:r>
        <w:rPr>
          <w:rFonts w:ascii="Minion Pro" w:hAnsi="Minion Pro"/>
          <w:b/>
          <w:bCs/>
          <w:color w:val="231F20"/>
          <w:kern w:val="2"/>
          <w:sz w:val="22"/>
          <w:szCs w:val="22"/>
          <w14:ligatures w14:val="standardContextual"/>
        </w:rPr>
        <w:t xml:space="preserve">Intervencije 31.08. </w:t>
      </w:r>
      <w:r>
        <w:rPr>
          <w:rFonts w:ascii="Minion Pro" w:eastAsia="Minion Pro" w:hAnsi="Minion Pro" w:cs="Minion Pro"/>
          <w:b/>
          <w:bCs/>
          <w:kern w:val="2"/>
          <w:sz w:val="22"/>
          <w:szCs w:val="22"/>
          <w:lang w:eastAsia="en-US"/>
          <w14:ligatures w14:val="standardContextual"/>
        </w:rPr>
        <w:t>Primjena ekoloških gnojiva u trajnim nasadima</w:t>
      </w:r>
    </w:p>
    <w:p w:rsidR="00A46E6A" w:rsidRDefault="00A46E6A" w:rsidP="00A46E6A">
      <w:pPr>
        <w:jc w:val="center"/>
        <w:rPr>
          <w:color w:val="231F20"/>
          <w:kern w:val="2"/>
          <w:sz w:val="16"/>
          <w:szCs w:val="16"/>
          <w14:ligatures w14:val="standardContextual"/>
        </w:rPr>
      </w:pPr>
      <w:r>
        <w:rPr>
          <w:color w:val="231F20"/>
          <w:kern w:val="2"/>
          <w:sz w:val="16"/>
          <w:szCs w:val="16"/>
          <w14:ligatures w14:val="standardContextual"/>
        </w:rPr>
        <w:t>EVIDENCIJA O PROVEDBI OBVEZA ZA INTERVENCIJU</w:t>
      </w:r>
    </w:p>
    <w:p w:rsidR="00A46E6A" w:rsidRDefault="00A46E6A" w:rsidP="00A46E6A">
      <w:pPr>
        <w:jc w:val="center"/>
        <w:rPr>
          <w:color w:val="231F20"/>
          <w:kern w:val="2"/>
          <w:sz w:val="16"/>
          <w:szCs w:val="16"/>
          <w14:ligatures w14:val="standardContextual"/>
        </w:rPr>
      </w:pPr>
      <w:r>
        <w:rPr>
          <w:color w:val="231F20"/>
          <w:kern w:val="2"/>
          <w:sz w:val="16"/>
          <w:szCs w:val="16"/>
          <w14:ligatures w14:val="standardContextual"/>
        </w:rPr>
        <w:t>31.08. Primjena ekoloških gnojiva u trajnim nasadima</w:t>
      </w:r>
    </w:p>
    <w:p w:rsidR="00A46E6A" w:rsidRDefault="00A46E6A" w:rsidP="00A46E6A">
      <w:pPr>
        <w:rPr>
          <w:rFonts w:ascii="Minion Pro" w:hAnsi="Minion Pro"/>
          <w:kern w:val="2"/>
          <w14:ligatures w14:val="standardContextual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4260"/>
        <w:gridCol w:w="5092"/>
      </w:tblGrid>
      <w:tr w:rsidR="00A46E6A" w:rsidTr="00A46E6A">
        <w:trPr>
          <w:trHeight w:val="300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color w:val="231F20"/>
                <w:kern w:val="2"/>
                <w:sz w:val="16"/>
                <w:szCs w:val="16"/>
                <w14:ligatures w14:val="standardContextual"/>
              </w:rPr>
            </w:pPr>
            <w:r>
              <w:rPr>
                <w:color w:val="231F20"/>
                <w:kern w:val="2"/>
                <w:sz w:val="16"/>
                <w:szCs w:val="16"/>
                <w14:ligatures w14:val="standardContextual"/>
              </w:rPr>
              <w:t>1. DIO – OPĆI PODACI ZA INTERVENCIJU</w:t>
            </w:r>
          </w:p>
          <w:p w:rsidR="00A46E6A" w:rsidRDefault="00A46E6A">
            <w:pPr>
              <w:jc w:val="center"/>
              <w:rPr>
                <w:color w:val="231F20"/>
                <w:kern w:val="2"/>
                <w:sz w:val="16"/>
                <w:szCs w:val="16"/>
                <w14:ligatures w14:val="standardContextual"/>
              </w:rPr>
            </w:pPr>
            <w:r>
              <w:rPr>
                <w:color w:val="231F20"/>
                <w:kern w:val="2"/>
                <w:sz w:val="16"/>
                <w:szCs w:val="16"/>
                <w14:ligatures w14:val="standardContextual"/>
              </w:rPr>
              <w:t>31.08. Primjena ekoloških gnojiva u trajnim nasadima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NAZIV PG I ODGOVORNE OSOBE:</w:t>
            </w:r>
          </w:p>
        </w:tc>
      </w:tr>
      <w:tr w:rsidR="00A46E6A" w:rsidTr="00A46E6A">
        <w:trPr>
          <w:trHeight w:val="30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OIB: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MIBPG: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SJEDIŠTE PG:</w:t>
            </w: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GODINA ZA KOJU SE VODI EVIDENCIJA:</w:t>
            </w:r>
          </w:p>
        </w:tc>
      </w:tr>
    </w:tbl>
    <w:p w:rsidR="00A46E6A" w:rsidRDefault="00A46E6A" w:rsidP="00A46E6A">
      <w:pPr>
        <w:rPr>
          <w:rFonts w:ascii="Minion Pro" w:hAnsi="Minion Pro"/>
          <w:kern w:val="2"/>
          <w14:ligatures w14:val="standardContextual"/>
        </w:rPr>
      </w:pPr>
    </w:p>
    <w:p w:rsidR="00A46E6A" w:rsidRDefault="00A46E6A" w:rsidP="00A46E6A">
      <w:pPr>
        <w:jc w:val="center"/>
        <w:rPr>
          <w:color w:val="231F20"/>
          <w:kern w:val="2"/>
          <w:sz w:val="16"/>
          <w:szCs w:val="16"/>
          <w14:ligatures w14:val="standardContextual"/>
        </w:rPr>
      </w:pPr>
      <w:r>
        <w:rPr>
          <w:color w:val="231F20"/>
          <w:kern w:val="2"/>
          <w:sz w:val="16"/>
          <w:szCs w:val="16"/>
          <w14:ligatures w14:val="standardContextual"/>
        </w:rPr>
        <w:t>2. DIO – PROVEDENE OBVEZE ZA INTERVENCIJU</w:t>
      </w:r>
    </w:p>
    <w:p w:rsidR="00A46E6A" w:rsidRDefault="00A46E6A" w:rsidP="00A46E6A">
      <w:pPr>
        <w:jc w:val="center"/>
        <w:rPr>
          <w:color w:val="231F20"/>
          <w:kern w:val="2"/>
          <w:sz w:val="16"/>
          <w:szCs w:val="16"/>
          <w14:ligatures w14:val="standardContextual"/>
        </w:rPr>
      </w:pPr>
      <w:r>
        <w:rPr>
          <w:color w:val="231F20"/>
          <w:kern w:val="2"/>
          <w:sz w:val="16"/>
          <w:szCs w:val="16"/>
          <w14:ligatures w14:val="standardContextual"/>
        </w:rPr>
        <w:t>31.08. Primjena ekoloških gnojiva u trajnim nasadima</w:t>
      </w:r>
    </w:p>
    <w:p w:rsidR="00A46E6A" w:rsidRDefault="00A46E6A" w:rsidP="00A46E6A">
      <w:pPr>
        <w:rPr>
          <w:rFonts w:ascii="Minion Pro" w:hAnsi="Minion Pro"/>
          <w:kern w:val="2"/>
          <w14:ligatures w14:val="standardContextual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646"/>
        <w:gridCol w:w="2417"/>
        <w:gridCol w:w="2211"/>
        <w:gridCol w:w="1995"/>
        <w:gridCol w:w="2083"/>
      </w:tblGrid>
      <w:tr w:rsidR="00A46E6A" w:rsidTr="00A46E6A">
        <w:trPr>
          <w:trHeight w:val="300"/>
        </w:trPr>
        <w:tc>
          <w:tcPr>
            <w:tcW w:w="5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Ime i prezime osobe koja je provela individualno savjetovanje vezano za izradu plana gnojidbe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A46E6A" w:rsidTr="00A46E6A">
        <w:trPr>
          <w:trHeight w:val="300"/>
        </w:trPr>
        <w:tc>
          <w:tcPr>
            <w:tcW w:w="5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Datum provedenog savjetovanja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A46E6A" w:rsidTr="00A46E6A">
        <w:trPr>
          <w:trHeight w:val="300"/>
        </w:trPr>
        <w:tc>
          <w:tcPr>
            <w:tcW w:w="5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Naziv i broj dokumenta kojim se individualno savjetovanje potvrđuje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46E6A" w:rsidRDefault="00A46E6A">
            <w:pP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A46E6A" w:rsidTr="00A46E6A">
        <w:trPr>
          <w:trHeight w:val="300"/>
        </w:trPr>
        <w:tc>
          <w:tcPr>
            <w:tcW w:w="9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color w:val="231F2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Minion Pro" w:hAnsi="Minion Pro"/>
                <w:b/>
                <w:bCs/>
                <w:color w:val="231F20"/>
                <w:kern w:val="2"/>
                <w:sz w:val="16"/>
                <w:szCs w:val="16"/>
                <w14:ligatures w14:val="standardContextual"/>
              </w:rPr>
              <w:t>1. Plan gnojidbe  za sve ARKOD parcele na kojima se provodi intervencija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R.b</w:t>
            </w:r>
            <w:proofErr w:type="spellEnd"/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ARKOD ID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Datum gnojidbe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Količina (t/ha)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jc w:val="center"/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Vrsta gnojiva/</w:t>
            </w:r>
            <w:proofErr w:type="spellStart"/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>poboljšivača</w:t>
            </w:r>
            <w:proofErr w:type="spellEnd"/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14:ligatures w14:val="standardContextual"/>
              </w:rPr>
              <w:t xml:space="preserve"> tla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</w:tr>
      <w:tr w:rsidR="00A46E6A" w:rsidTr="00A46E6A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6E6A" w:rsidRDefault="00A46E6A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 </w:t>
            </w:r>
          </w:p>
        </w:tc>
      </w:tr>
    </w:tbl>
    <w:p w:rsidR="00A46E6A" w:rsidRDefault="00A46E6A" w:rsidP="00A46E6A">
      <w:pPr>
        <w:textAlignment w:val="baseline"/>
        <w:rPr>
          <w:rFonts w:ascii="Minion Pro" w:hAnsi="Minion Pro"/>
          <w:b/>
          <w:bCs/>
          <w:color w:val="231F20"/>
          <w:bdr w:val="none" w:sz="0" w:space="0" w:color="auto" w:frame="1"/>
        </w:rPr>
      </w:pPr>
    </w:p>
    <w:p w:rsidR="00A46E6A" w:rsidRDefault="00A46E6A">
      <w:bookmarkStart w:id="1" w:name="_GoBack"/>
      <w:bookmarkEnd w:id="1"/>
    </w:p>
    <w:sectPr w:rsidR="00A4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6A"/>
    <w:rsid w:val="00467623"/>
    <w:rsid w:val="00A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D68"/>
  <w15:chartTrackingRefBased/>
  <w15:docId w15:val="{C2405E8D-3212-4BA9-AF57-836057E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4657</Characters>
  <Application>Microsoft Office Word</Application>
  <DocSecurity>0</DocSecurity>
  <Lines>38</Lines>
  <Paragraphs>10</Paragraphs>
  <ScaleCrop>false</ScaleCrop>
  <Company>APPRRR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Tadea Glavinić</dc:creator>
  <cp:keywords/>
  <dc:description/>
  <cp:lastModifiedBy>Tadea Glavinić</cp:lastModifiedBy>
  <cp:revision>1</cp:revision>
  <dcterms:created xsi:type="dcterms:W3CDTF">2024-10-21T12:23:00Z</dcterms:created>
  <dcterms:modified xsi:type="dcterms:W3CDTF">2024-10-21T12:26:00Z</dcterms:modified>
</cp:coreProperties>
</file>