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704"/>
        <w:gridCol w:w="5245"/>
        <w:gridCol w:w="7999"/>
      </w:tblGrid>
      <w:tr w:rsidR="00A65015" w:rsidRPr="007E5A92" w:rsidTr="00A65015">
        <w:tc>
          <w:tcPr>
            <w:tcW w:w="13948" w:type="dxa"/>
            <w:gridSpan w:val="3"/>
            <w:shd w:val="clear" w:color="auto" w:fill="FBE4D5" w:themeFill="accent2" w:themeFillTint="33"/>
          </w:tcPr>
          <w:p w:rsidR="00A65015" w:rsidRPr="007E5A92" w:rsidRDefault="00A65015" w:rsidP="00A65015">
            <w:pPr>
              <w:jc w:val="center"/>
              <w:rPr>
                <w:rFonts w:cstheme="minorHAnsi"/>
                <w:b/>
              </w:rPr>
            </w:pPr>
            <w:r w:rsidRPr="007E5A92">
              <w:rPr>
                <w:rFonts w:cstheme="minorHAnsi"/>
                <w:b/>
              </w:rPr>
              <w:t>NATJEČAJ</w:t>
            </w:r>
          </w:p>
          <w:p w:rsidR="00A65015" w:rsidRPr="007E5A92" w:rsidRDefault="00A65015" w:rsidP="00A65015">
            <w:pPr>
              <w:jc w:val="center"/>
              <w:rPr>
                <w:rFonts w:cstheme="minorHAnsi"/>
                <w:b/>
              </w:rPr>
            </w:pPr>
            <w:r w:rsidRPr="007E5A92">
              <w:rPr>
                <w:rFonts w:cstheme="minorHAnsi"/>
                <w:b/>
              </w:rPr>
              <w:t>za podnošenje zahtjeva za potporu iz sektora vina unutar Strateškog plana zajedničke poljoprivredne politike Republike Hrvatske 2023. - 2027. za intervenciju</w:t>
            </w:r>
          </w:p>
          <w:p w:rsidR="00A65015" w:rsidRPr="007E5A92" w:rsidRDefault="00A65015" w:rsidP="00A65015">
            <w:pPr>
              <w:jc w:val="center"/>
              <w:rPr>
                <w:rFonts w:cstheme="minorHAnsi"/>
              </w:rPr>
            </w:pPr>
            <w:r w:rsidRPr="007E5A92">
              <w:rPr>
                <w:rFonts w:cstheme="minorHAnsi"/>
                <w:b/>
              </w:rPr>
              <w:t>“ 58.1.</w:t>
            </w:r>
            <w:r w:rsidR="00F6207C" w:rsidRPr="007E5A92">
              <w:rPr>
                <w:rFonts w:cstheme="minorHAnsi"/>
                <w:b/>
              </w:rPr>
              <w:t>a</w:t>
            </w:r>
            <w:r w:rsidRPr="007E5A92">
              <w:rPr>
                <w:rFonts w:cstheme="minorHAnsi"/>
                <w:b/>
              </w:rPr>
              <w:t xml:space="preserve">.01. - </w:t>
            </w:r>
            <w:r w:rsidR="00F6207C" w:rsidRPr="007E5A92">
              <w:rPr>
                <w:rFonts w:cstheme="minorHAnsi"/>
                <w:b/>
              </w:rPr>
              <w:t>RESTRVINEY</w:t>
            </w:r>
            <w:r w:rsidRPr="007E5A92">
              <w:rPr>
                <w:rFonts w:cstheme="minorHAnsi"/>
                <w:b/>
              </w:rPr>
              <w:t xml:space="preserve"> – </w:t>
            </w:r>
            <w:r w:rsidR="00F6207C" w:rsidRPr="007E5A92">
              <w:rPr>
                <w:rFonts w:cstheme="minorHAnsi"/>
                <w:b/>
              </w:rPr>
              <w:t>Restrukturiranje i konverzija vinograda</w:t>
            </w:r>
            <w:r w:rsidRPr="007E5A92">
              <w:rPr>
                <w:rFonts w:cstheme="minorHAnsi"/>
                <w:b/>
              </w:rPr>
              <w:t>“</w:t>
            </w:r>
          </w:p>
        </w:tc>
      </w:tr>
      <w:tr w:rsidR="005E0810" w:rsidRPr="007E5A92" w:rsidTr="00A65015">
        <w:tc>
          <w:tcPr>
            <w:tcW w:w="704" w:type="dxa"/>
          </w:tcPr>
          <w:p w:rsidR="005E0810" w:rsidRPr="007E5A92" w:rsidRDefault="00A65015">
            <w:pPr>
              <w:rPr>
                <w:rFonts w:cstheme="minorHAnsi"/>
              </w:rPr>
            </w:pPr>
            <w:r w:rsidRPr="007E5A92">
              <w:rPr>
                <w:rFonts w:cstheme="minorHAnsi"/>
              </w:rPr>
              <w:t>R.br.</w:t>
            </w:r>
          </w:p>
        </w:tc>
        <w:tc>
          <w:tcPr>
            <w:tcW w:w="5245" w:type="dxa"/>
          </w:tcPr>
          <w:p w:rsidR="005E0810" w:rsidRPr="007E5A92" w:rsidRDefault="00A65015" w:rsidP="00A65015">
            <w:pPr>
              <w:jc w:val="center"/>
              <w:rPr>
                <w:rFonts w:cstheme="minorHAnsi"/>
                <w:b/>
              </w:rPr>
            </w:pPr>
            <w:r w:rsidRPr="007E5A92">
              <w:rPr>
                <w:rFonts w:cstheme="minorHAnsi"/>
                <w:b/>
              </w:rPr>
              <w:t>PITANJE</w:t>
            </w:r>
          </w:p>
        </w:tc>
        <w:tc>
          <w:tcPr>
            <w:tcW w:w="7999" w:type="dxa"/>
          </w:tcPr>
          <w:p w:rsidR="005E0810" w:rsidRPr="007E5A92" w:rsidRDefault="00A65015" w:rsidP="00A65015">
            <w:pPr>
              <w:jc w:val="center"/>
              <w:rPr>
                <w:rFonts w:cstheme="minorHAnsi"/>
                <w:b/>
              </w:rPr>
            </w:pPr>
            <w:r w:rsidRPr="007E5A92">
              <w:rPr>
                <w:rFonts w:cstheme="minorHAnsi"/>
                <w:b/>
              </w:rPr>
              <w:t>ODGOVOR</w:t>
            </w:r>
          </w:p>
        </w:tc>
      </w:tr>
      <w:tr w:rsidR="005E0810" w:rsidRPr="007E5A92" w:rsidTr="00B55621">
        <w:trPr>
          <w:trHeight w:val="1314"/>
        </w:trPr>
        <w:tc>
          <w:tcPr>
            <w:tcW w:w="704" w:type="dxa"/>
          </w:tcPr>
          <w:p w:rsidR="005E0810" w:rsidRPr="007E5A92" w:rsidRDefault="00A65015">
            <w:pPr>
              <w:rPr>
                <w:rFonts w:cstheme="minorHAnsi"/>
              </w:rPr>
            </w:pPr>
            <w:r w:rsidRPr="007E5A92">
              <w:rPr>
                <w:rFonts w:cstheme="minorHAnsi"/>
              </w:rPr>
              <w:t xml:space="preserve">1. </w:t>
            </w:r>
          </w:p>
        </w:tc>
        <w:tc>
          <w:tcPr>
            <w:tcW w:w="5245" w:type="dxa"/>
          </w:tcPr>
          <w:p w:rsidR="00375774" w:rsidRPr="007E5A92" w:rsidRDefault="00375774" w:rsidP="00375774">
            <w:pPr>
              <w:jc w:val="both"/>
              <w:rPr>
                <w:rFonts w:cstheme="minorHAnsi"/>
              </w:rPr>
            </w:pPr>
          </w:p>
          <w:p w:rsidR="00375774" w:rsidRPr="007E5A92" w:rsidRDefault="00375774" w:rsidP="00375774">
            <w:pPr>
              <w:jc w:val="both"/>
              <w:rPr>
                <w:rFonts w:cstheme="minorHAnsi"/>
              </w:rPr>
            </w:pPr>
            <w:r w:rsidRPr="007E5A92">
              <w:rPr>
                <w:rFonts w:cstheme="minorHAnsi"/>
              </w:rPr>
              <w:t xml:space="preserve">Jesu li   intervenciji 58.1.a.01., prihvatljivi troškovi koje OPG može odraditi sam (kao doprinose u naravi) ili za sve aktivnosti treba </w:t>
            </w:r>
            <w:r w:rsidR="00B55621" w:rsidRPr="007E5A92">
              <w:rPr>
                <w:rFonts w:cstheme="minorHAnsi"/>
              </w:rPr>
              <w:t>prikupiti</w:t>
            </w:r>
            <w:r w:rsidRPr="007E5A92">
              <w:rPr>
                <w:rFonts w:cstheme="minorHAnsi"/>
              </w:rPr>
              <w:t xml:space="preserve"> ponude? </w:t>
            </w:r>
          </w:p>
          <w:p w:rsidR="00375774" w:rsidRPr="007E5A92" w:rsidRDefault="00375774" w:rsidP="00375774">
            <w:pPr>
              <w:jc w:val="both"/>
              <w:rPr>
                <w:rFonts w:cstheme="minorHAnsi"/>
              </w:rPr>
            </w:pPr>
          </w:p>
          <w:p w:rsidR="005E0810" w:rsidRPr="007E5A92" w:rsidRDefault="005E0810" w:rsidP="00B7679C">
            <w:pPr>
              <w:jc w:val="both"/>
              <w:rPr>
                <w:rFonts w:cstheme="minorHAnsi"/>
              </w:rPr>
            </w:pPr>
          </w:p>
        </w:tc>
        <w:tc>
          <w:tcPr>
            <w:tcW w:w="7999" w:type="dxa"/>
          </w:tcPr>
          <w:p w:rsidR="00375774" w:rsidRPr="007E5A92" w:rsidRDefault="00375774" w:rsidP="00375774">
            <w:pPr>
              <w:jc w:val="both"/>
              <w:rPr>
                <w:rFonts w:cstheme="minorHAnsi"/>
              </w:rPr>
            </w:pPr>
            <w:r w:rsidRPr="007E5A92">
              <w:rPr>
                <w:rFonts w:cstheme="minorHAnsi"/>
              </w:rPr>
              <w:t>Doprinosi u naravi nisu prihvatljiv trošak u intervenciji 58.1.a.01. Restrukturiranje i konverzija vinograda. Prilogom IV. Natječaja propisan je način prikupljanja ponuda, a prilogom V. Natječaja propisani su maksimalni troškovi.</w:t>
            </w:r>
          </w:p>
          <w:p w:rsidR="005E0810" w:rsidRPr="007E5A92" w:rsidRDefault="005E0810" w:rsidP="009A4E75">
            <w:pPr>
              <w:jc w:val="both"/>
              <w:rPr>
                <w:rFonts w:cstheme="minorHAnsi"/>
              </w:rPr>
            </w:pPr>
          </w:p>
        </w:tc>
      </w:tr>
      <w:tr w:rsidR="005E0810" w:rsidRPr="007E5A92" w:rsidTr="00375774">
        <w:trPr>
          <w:trHeight w:val="1676"/>
        </w:trPr>
        <w:tc>
          <w:tcPr>
            <w:tcW w:w="704" w:type="dxa"/>
          </w:tcPr>
          <w:p w:rsidR="005E0810" w:rsidRPr="007E5A92" w:rsidRDefault="00205DEB">
            <w:pPr>
              <w:rPr>
                <w:rFonts w:cstheme="minorHAnsi"/>
              </w:rPr>
            </w:pPr>
            <w:r w:rsidRPr="007E5A92">
              <w:rPr>
                <w:rFonts w:cstheme="minorHAnsi"/>
              </w:rPr>
              <w:t>2.</w:t>
            </w:r>
          </w:p>
        </w:tc>
        <w:tc>
          <w:tcPr>
            <w:tcW w:w="5245" w:type="dxa"/>
          </w:tcPr>
          <w:p w:rsidR="00375774" w:rsidRPr="007E5A92" w:rsidRDefault="00375774" w:rsidP="00375774">
            <w:pPr>
              <w:rPr>
                <w:rFonts w:cstheme="minorHAnsi"/>
              </w:rPr>
            </w:pPr>
            <w:r w:rsidRPr="007E5A92">
              <w:rPr>
                <w:rFonts w:cstheme="minorHAnsi"/>
              </w:rPr>
              <w:t xml:space="preserve">Mogu li se </w:t>
            </w:r>
            <w:r w:rsidRPr="007E5A92">
              <w:rPr>
                <w:rFonts w:cstheme="minorHAnsi"/>
                <w:bCs/>
              </w:rPr>
              <w:t>male vinarije, koje nisu u sustavu PDV-a</w:t>
            </w:r>
            <w:r w:rsidRPr="007E5A92">
              <w:rPr>
                <w:rFonts w:cstheme="minorHAnsi"/>
              </w:rPr>
              <w:t>, javiti na jedan od sljedećih natječaja:</w:t>
            </w:r>
          </w:p>
          <w:p w:rsidR="00375774" w:rsidRPr="007E5A92" w:rsidRDefault="00375774" w:rsidP="00375774">
            <w:pPr>
              <w:numPr>
                <w:ilvl w:val="0"/>
                <w:numId w:val="1"/>
              </w:numPr>
              <w:spacing w:before="100" w:beforeAutospacing="1" w:after="100" w:afterAutospacing="1"/>
              <w:rPr>
                <w:rFonts w:eastAsia="Times New Roman" w:cstheme="minorHAnsi"/>
              </w:rPr>
            </w:pPr>
            <w:r w:rsidRPr="007E5A92">
              <w:rPr>
                <w:rFonts w:eastAsia="Times New Roman" w:cstheme="minorHAnsi"/>
              </w:rPr>
              <w:t>58.1.b.01. INVWINE Ulaganja</w:t>
            </w:r>
          </w:p>
          <w:p w:rsidR="00375774" w:rsidRPr="007E5A92" w:rsidRDefault="00375774" w:rsidP="00375774">
            <w:pPr>
              <w:numPr>
                <w:ilvl w:val="0"/>
                <w:numId w:val="1"/>
              </w:numPr>
              <w:spacing w:before="100" w:beforeAutospacing="1" w:after="100" w:afterAutospacing="1"/>
              <w:rPr>
                <w:rFonts w:eastAsia="Times New Roman" w:cstheme="minorHAnsi"/>
              </w:rPr>
            </w:pPr>
            <w:r w:rsidRPr="007E5A92">
              <w:rPr>
                <w:rFonts w:eastAsia="Times New Roman" w:cstheme="minorHAnsi"/>
              </w:rPr>
              <w:t>58.1.a.01. RESTRVINEY Restrukturiranje</w:t>
            </w:r>
          </w:p>
          <w:p w:rsidR="00375774" w:rsidRPr="007E5A92" w:rsidRDefault="00375774" w:rsidP="00375774">
            <w:pPr>
              <w:numPr>
                <w:ilvl w:val="0"/>
                <w:numId w:val="1"/>
              </w:numPr>
              <w:spacing w:before="100" w:beforeAutospacing="1" w:after="100" w:afterAutospacing="1"/>
              <w:rPr>
                <w:rFonts w:eastAsia="Times New Roman" w:cstheme="minorHAnsi"/>
              </w:rPr>
            </w:pPr>
            <w:r w:rsidRPr="007E5A92">
              <w:rPr>
                <w:rFonts w:eastAsia="Times New Roman" w:cstheme="minorHAnsi"/>
              </w:rPr>
              <w:t>58.1.k.01. Promidžba?</w:t>
            </w:r>
          </w:p>
          <w:p w:rsidR="005E0810" w:rsidRPr="007E5A92" w:rsidRDefault="005E0810" w:rsidP="00B7679C">
            <w:pPr>
              <w:jc w:val="both"/>
              <w:rPr>
                <w:rFonts w:cstheme="minorHAnsi"/>
              </w:rPr>
            </w:pPr>
          </w:p>
        </w:tc>
        <w:tc>
          <w:tcPr>
            <w:tcW w:w="7999" w:type="dxa"/>
          </w:tcPr>
          <w:p w:rsidR="00375774" w:rsidRPr="007E5A92" w:rsidRDefault="00375774" w:rsidP="00375774">
            <w:pPr>
              <w:jc w:val="both"/>
              <w:rPr>
                <w:rFonts w:cstheme="minorHAnsi"/>
              </w:rPr>
            </w:pPr>
            <w:r w:rsidRPr="007E5A92">
              <w:rPr>
                <w:rFonts w:cstheme="minorHAnsi"/>
              </w:rPr>
              <w:t>Korisnik koji nije u sustavu PDV-a prihvatljiv je korisnik u svim navedenim intervencijama ukoliko su zadovoljeni svi ostali uvjeti prihvatljivosti korisnika koji su propisani Pravilnikom o provedbi intervencija iz sektora vina unutar Strateškog plana zajedničke poljoprivredne politike Republike Hrvatske 2023. – 2027., („Narodne novine“, br. 140/23, 152/23, 69/24, 5/25).</w:t>
            </w:r>
          </w:p>
          <w:p w:rsidR="00375774" w:rsidRPr="007E5A92" w:rsidRDefault="00375774" w:rsidP="00375774">
            <w:pPr>
              <w:jc w:val="both"/>
              <w:rPr>
                <w:rFonts w:cstheme="minorHAnsi"/>
              </w:rPr>
            </w:pPr>
          </w:p>
          <w:p w:rsidR="005E0810" w:rsidRPr="007E5A92" w:rsidRDefault="005E0810" w:rsidP="00B7679C">
            <w:pPr>
              <w:jc w:val="both"/>
              <w:rPr>
                <w:rFonts w:cstheme="minorHAnsi"/>
              </w:rPr>
            </w:pPr>
          </w:p>
        </w:tc>
      </w:tr>
      <w:tr w:rsidR="005E0810" w:rsidRPr="007E5A92" w:rsidTr="00A65015">
        <w:tc>
          <w:tcPr>
            <w:tcW w:w="704" w:type="dxa"/>
          </w:tcPr>
          <w:p w:rsidR="005E0810" w:rsidRPr="007E5A92" w:rsidRDefault="00205DEB">
            <w:pPr>
              <w:rPr>
                <w:rFonts w:cstheme="minorHAnsi"/>
              </w:rPr>
            </w:pPr>
            <w:r w:rsidRPr="007E5A92">
              <w:rPr>
                <w:rFonts w:cstheme="minorHAnsi"/>
              </w:rPr>
              <w:t>3.</w:t>
            </w:r>
          </w:p>
        </w:tc>
        <w:tc>
          <w:tcPr>
            <w:tcW w:w="5245" w:type="dxa"/>
          </w:tcPr>
          <w:p w:rsidR="005E0810" w:rsidRPr="007E5A92" w:rsidRDefault="00392FC1" w:rsidP="00B7679C">
            <w:pPr>
              <w:jc w:val="both"/>
              <w:rPr>
                <w:rFonts w:cstheme="minorHAnsi"/>
              </w:rPr>
            </w:pPr>
            <w:r w:rsidRPr="007E5A92">
              <w:rPr>
                <w:rFonts w:cstheme="minorHAnsi"/>
              </w:rPr>
              <w:t>Upisuju li se u</w:t>
            </w:r>
            <w:r w:rsidR="00375774" w:rsidRPr="007E5A92">
              <w:rPr>
                <w:rFonts w:cstheme="minorHAnsi"/>
              </w:rPr>
              <w:t xml:space="preserve"> tablici 4.1. Lista prihvatljivih troškova, u stupcu </w:t>
            </w:r>
            <w:r w:rsidR="00195F85" w:rsidRPr="007E5A92">
              <w:rPr>
                <w:rFonts w:cstheme="minorHAnsi"/>
              </w:rPr>
              <w:t>„</w:t>
            </w:r>
            <w:r w:rsidR="00375774" w:rsidRPr="007E5A92">
              <w:rPr>
                <w:rFonts w:cstheme="minorHAnsi"/>
              </w:rPr>
              <w:t>ID broj ARKOD parcele</w:t>
            </w:r>
            <w:r w:rsidR="00195F85" w:rsidRPr="007E5A92">
              <w:rPr>
                <w:rFonts w:cstheme="minorHAnsi"/>
              </w:rPr>
              <w:t>“</w:t>
            </w:r>
            <w:r w:rsidR="00375774" w:rsidRPr="007E5A92">
              <w:rPr>
                <w:rFonts w:cstheme="minorHAnsi"/>
              </w:rPr>
              <w:t xml:space="preserve"> na kojoj se provodi trošak sve parcele na kojoj će se provoditi projekt ili za svaku parcelu posebno dodajemo redove i stupce.  </w:t>
            </w:r>
            <w:r w:rsidRPr="007E5A92">
              <w:rPr>
                <w:rFonts w:cstheme="minorHAnsi"/>
              </w:rPr>
              <w:t>S</w:t>
            </w:r>
            <w:r w:rsidR="00375774" w:rsidRPr="007E5A92">
              <w:rPr>
                <w:rFonts w:cstheme="minorHAnsi"/>
              </w:rPr>
              <w:t xml:space="preserve">ukladno tome u stupcu </w:t>
            </w:r>
            <w:r w:rsidRPr="007E5A92">
              <w:rPr>
                <w:rFonts w:cstheme="minorHAnsi"/>
              </w:rPr>
              <w:t>„</w:t>
            </w:r>
            <w:r w:rsidR="00375774" w:rsidRPr="007E5A92">
              <w:rPr>
                <w:rFonts w:cstheme="minorHAnsi"/>
              </w:rPr>
              <w:t>Površina ARKOD parcele na kojoj se provodi trošak</w:t>
            </w:r>
            <w:r w:rsidRPr="007E5A92">
              <w:rPr>
                <w:rFonts w:cstheme="minorHAnsi"/>
              </w:rPr>
              <w:t>“</w:t>
            </w:r>
            <w:r w:rsidR="00375774" w:rsidRPr="007E5A92">
              <w:rPr>
                <w:rFonts w:cstheme="minorHAnsi"/>
              </w:rPr>
              <w:t xml:space="preserve"> upisuje </w:t>
            </w:r>
            <w:r w:rsidRPr="007E5A92">
              <w:rPr>
                <w:rFonts w:cstheme="minorHAnsi"/>
              </w:rPr>
              <w:t xml:space="preserve">li se </w:t>
            </w:r>
            <w:r w:rsidR="00375774" w:rsidRPr="007E5A92">
              <w:rPr>
                <w:rFonts w:cstheme="minorHAnsi"/>
              </w:rPr>
              <w:t>zbroj svih parcela na kojoj se provodi trošak ili za svaku parcelu posebno unutar iste kućice?</w:t>
            </w:r>
          </w:p>
        </w:tc>
        <w:tc>
          <w:tcPr>
            <w:tcW w:w="7999" w:type="dxa"/>
          </w:tcPr>
          <w:p w:rsidR="00375774" w:rsidRPr="007E5A92" w:rsidRDefault="00375774" w:rsidP="00375774">
            <w:pPr>
              <w:jc w:val="both"/>
              <w:rPr>
                <w:rFonts w:cstheme="minorHAnsi"/>
                <w:bCs/>
              </w:rPr>
            </w:pPr>
            <w:r w:rsidRPr="007E5A92">
              <w:rPr>
                <w:rFonts w:cstheme="minorHAnsi"/>
                <w:bCs/>
              </w:rPr>
              <w:t xml:space="preserve">U tablici 4.1. Lista prihvatljivih troškova, stupcu </w:t>
            </w:r>
            <w:r w:rsidRPr="007E5A92">
              <w:rPr>
                <w:rFonts w:cstheme="minorHAnsi"/>
                <w:bCs/>
                <w:i/>
                <w:iCs/>
              </w:rPr>
              <w:t>ID broj ARKOD parcele na kojoj se provodi trošak</w:t>
            </w:r>
            <w:r w:rsidRPr="007E5A92">
              <w:rPr>
                <w:rFonts w:cstheme="minorHAnsi"/>
                <w:bCs/>
              </w:rPr>
              <w:t xml:space="preserve"> navode se sve parcele na kojima je planirana provedba projekta, pri čemu nije potrebno dodavanje redaka/stupaca, nego je sve moguće prikazati unutar iste kućice predmetnog stupca. U stupcu </w:t>
            </w:r>
            <w:r w:rsidRPr="007E5A92">
              <w:rPr>
                <w:rFonts w:cstheme="minorHAnsi"/>
                <w:bCs/>
                <w:i/>
                <w:iCs/>
              </w:rPr>
              <w:t>Površina ARKOD parcele na kojoj se provodi trošak (ha)</w:t>
            </w:r>
            <w:r w:rsidRPr="007E5A92">
              <w:rPr>
                <w:rFonts w:cstheme="minorHAnsi"/>
                <w:bCs/>
              </w:rPr>
              <w:t xml:space="preserve"> moguće je unutar iste kućice upisati zbirnu površinu svih ARKOD parcela na kojima je planirana provedba projekta. </w:t>
            </w:r>
          </w:p>
          <w:p w:rsidR="005E0810" w:rsidRPr="007E5A92" w:rsidRDefault="005E0810" w:rsidP="00205DEB">
            <w:pPr>
              <w:rPr>
                <w:rFonts w:cstheme="minorHAnsi"/>
              </w:rPr>
            </w:pPr>
          </w:p>
        </w:tc>
      </w:tr>
      <w:tr w:rsidR="00205DEB" w:rsidRPr="007E5A92" w:rsidTr="00A65015">
        <w:tc>
          <w:tcPr>
            <w:tcW w:w="704" w:type="dxa"/>
          </w:tcPr>
          <w:p w:rsidR="00205DEB" w:rsidRPr="007E5A92" w:rsidRDefault="00205DEB">
            <w:pPr>
              <w:rPr>
                <w:rFonts w:cstheme="minorHAnsi"/>
              </w:rPr>
            </w:pPr>
            <w:r w:rsidRPr="007E5A92">
              <w:rPr>
                <w:rFonts w:cstheme="minorHAnsi"/>
              </w:rPr>
              <w:t>4.</w:t>
            </w:r>
          </w:p>
        </w:tc>
        <w:tc>
          <w:tcPr>
            <w:tcW w:w="5245" w:type="dxa"/>
          </w:tcPr>
          <w:p w:rsidR="00375774" w:rsidRPr="007E5A92" w:rsidRDefault="00392FC1" w:rsidP="00375774">
            <w:pPr>
              <w:jc w:val="both"/>
              <w:rPr>
                <w:rFonts w:cstheme="minorHAnsi"/>
              </w:rPr>
            </w:pPr>
            <w:r w:rsidRPr="007E5A92">
              <w:rPr>
                <w:rFonts w:cstheme="minorHAnsi"/>
              </w:rPr>
              <w:t>Upisuju li se u</w:t>
            </w:r>
            <w:r w:rsidR="00375774" w:rsidRPr="007E5A92">
              <w:rPr>
                <w:rFonts w:cstheme="minorHAnsi"/>
              </w:rPr>
              <w:t xml:space="preserve"> tablic</w:t>
            </w:r>
            <w:r w:rsidRPr="007E5A92">
              <w:rPr>
                <w:rFonts w:cstheme="minorHAnsi"/>
              </w:rPr>
              <w:t>u</w:t>
            </w:r>
            <w:r w:rsidR="00375774" w:rsidRPr="007E5A92">
              <w:rPr>
                <w:rFonts w:cstheme="minorHAnsi"/>
              </w:rPr>
              <w:t xml:space="preserve"> 4.3. Analiza postojećeg tržišta prodaje, podaci za sve parcele podnositelja ili samo za predmetne parcele (parcele na kojoj se provodi trošak)?</w:t>
            </w:r>
          </w:p>
          <w:p w:rsidR="00205DEB" w:rsidRPr="007E5A92" w:rsidRDefault="00205DEB" w:rsidP="0002068E">
            <w:pPr>
              <w:jc w:val="both"/>
              <w:rPr>
                <w:rFonts w:cstheme="minorHAnsi"/>
              </w:rPr>
            </w:pPr>
          </w:p>
        </w:tc>
        <w:tc>
          <w:tcPr>
            <w:tcW w:w="7999" w:type="dxa"/>
          </w:tcPr>
          <w:p w:rsidR="00375774" w:rsidRPr="007E5A92" w:rsidRDefault="00375774" w:rsidP="00375774">
            <w:pPr>
              <w:jc w:val="both"/>
              <w:rPr>
                <w:rFonts w:cstheme="minorHAnsi"/>
                <w:bCs/>
              </w:rPr>
            </w:pPr>
            <w:r w:rsidRPr="007E5A92">
              <w:rPr>
                <w:rFonts w:cstheme="minorHAnsi"/>
                <w:bCs/>
              </w:rPr>
              <w:t>U tablici 4.3. Analiza postojećeg tržišta prodaje upisuju se podaci ukupnog poslovanja podnositelja, neovisno o ARKOD parcelama na kojima je planirana provedba projekta.</w:t>
            </w:r>
          </w:p>
          <w:p w:rsidR="00831D26" w:rsidRPr="007E5A92" w:rsidRDefault="00831D26" w:rsidP="00361EF4">
            <w:pPr>
              <w:jc w:val="both"/>
              <w:rPr>
                <w:rFonts w:cstheme="minorHAnsi"/>
              </w:rPr>
            </w:pPr>
          </w:p>
        </w:tc>
      </w:tr>
      <w:tr w:rsidR="00205DEB" w:rsidRPr="007E5A92" w:rsidTr="00A65015">
        <w:tc>
          <w:tcPr>
            <w:tcW w:w="704" w:type="dxa"/>
          </w:tcPr>
          <w:p w:rsidR="00205DEB" w:rsidRPr="007E5A92" w:rsidRDefault="00205DEB">
            <w:pPr>
              <w:rPr>
                <w:rFonts w:cstheme="minorHAnsi"/>
              </w:rPr>
            </w:pPr>
            <w:r w:rsidRPr="007E5A92">
              <w:rPr>
                <w:rFonts w:cstheme="minorHAnsi"/>
              </w:rPr>
              <w:lastRenderedPageBreak/>
              <w:t>5.</w:t>
            </w:r>
          </w:p>
        </w:tc>
        <w:tc>
          <w:tcPr>
            <w:tcW w:w="5245" w:type="dxa"/>
          </w:tcPr>
          <w:p w:rsidR="00375774" w:rsidRPr="007E5A92" w:rsidRDefault="00375774" w:rsidP="00375774">
            <w:pPr>
              <w:jc w:val="both"/>
              <w:rPr>
                <w:rFonts w:cstheme="minorHAnsi"/>
              </w:rPr>
            </w:pPr>
            <w:r w:rsidRPr="007E5A92">
              <w:rPr>
                <w:rFonts w:cstheme="minorHAnsi"/>
              </w:rPr>
              <w:t>Koja površina parcele se gleda kod troška kupnje sadnica; površina ARKOD ID parcele ili prihvatljiva površina vinograda?</w:t>
            </w:r>
          </w:p>
          <w:p w:rsidR="00205DEB" w:rsidRPr="007E5A92" w:rsidRDefault="00205DEB" w:rsidP="00205DEB">
            <w:pPr>
              <w:rPr>
                <w:rFonts w:cstheme="minorHAnsi"/>
              </w:rPr>
            </w:pPr>
          </w:p>
        </w:tc>
        <w:tc>
          <w:tcPr>
            <w:tcW w:w="7999" w:type="dxa"/>
          </w:tcPr>
          <w:p w:rsidR="00375774" w:rsidRPr="007E5A92" w:rsidRDefault="00375774" w:rsidP="00375774">
            <w:pPr>
              <w:jc w:val="both"/>
              <w:rPr>
                <w:rFonts w:cstheme="minorHAnsi"/>
                <w:bCs/>
              </w:rPr>
            </w:pPr>
            <w:r w:rsidRPr="007E5A92">
              <w:rPr>
                <w:rFonts w:cstheme="minorHAnsi"/>
                <w:bCs/>
              </w:rPr>
              <w:t xml:space="preserve">Trošak kupnje sadnica bit će prihvatljiv sukladno utvrđenoj prihvatljivoj površini vinograda nakon izlaska kontrole na terenu te kontrolnog izračuna u administrativnoj kontroli projekta pri čemu nije moguće odobriti veću količinu sadnica te površinu od prijavljene. </w:t>
            </w:r>
          </w:p>
          <w:p w:rsidR="00375774" w:rsidRPr="007E5A92" w:rsidRDefault="00375774" w:rsidP="00375774">
            <w:pPr>
              <w:jc w:val="both"/>
              <w:rPr>
                <w:rFonts w:cstheme="minorHAnsi"/>
              </w:rPr>
            </w:pPr>
          </w:p>
          <w:p w:rsidR="00205DEB" w:rsidRPr="007E5A92" w:rsidRDefault="00205DEB" w:rsidP="00205DEB">
            <w:pPr>
              <w:rPr>
                <w:rFonts w:cstheme="minorHAnsi"/>
              </w:rPr>
            </w:pPr>
          </w:p>
        </w:tc>
      </w:tr>
      <w:tr w:rsidR="00205DEB" w:rsidRPr="007E5A92" w:rsidTr="00A65015">
        <w:tc>
          <w:tcPr>
            <w:tcW w:w="704" w:type="dxa"/>
          </w:tcPr>
          <w:p w:rsidR="00205DEB" w:rsidRPr="007E5A92" w:rsidRDefault="00205DEB">
            <w:pPr>
              <w:rPr>
                <w:rFonts w:cstheme="minorHAnsi"/>
              </w:rPr>
            </w:pPr>
            <w:r w:rsidRPr="007E5A92">
              <w:rPr>
                <w:rFonts w:cstheme="minorHAnsi"/>
              </w:rPr>
              <w:t>6.</w:t>
            </w:r>
          </w:p>
        </w:tc>
        <w:tc>
          <w:tcPr>
            <w:tcW w:w="5245" w:type="dxa"/>
          </w:tcPr>
          <w:p w:rsidR="00782133" w:rsidRPr="007E5A92" w:rsidRDefault="00782133" w:rsidP="00782133">
            <w:pPr>
              <w:jc w:val="both"/>
              <w:rPr>
                <w:rFonts w:cstheme="minorHAnsi"/>
              </w:rPr>
            </w:pPr>
            <w:r w:rsidRPr="007E5A92">
              <w:rPr>
                <w:rFonts w:cstheme="minorHAnsi"/>
              </w:rPr>
              <w:t>Na jednoj parceli zasađeno je 4 sorte vinove loze, a planirana je konve</w:t>
            </w:r>
            <w:r w:rsidR="0049331A">
              <w:rPr>
                <w:rFonts w:cstheme="minorHAnsi"/>
              </w:rPr>
              <w:t>rzija samo jedne sorte u dijelu površine</w:t>
            </w:r>
            <w:r w:rsidRPr="007E5A92">
              <w:rPr>
                <w:rFonts w:cstheme="minorHAnsi"/>
              </w:rPr>
              <w:t xml:space="preserve">. Sukladno tome </w:t>
            </w:r>
            <w:r w:rsidR="00392FC1" w:rsidRPr="007E5A92">
              <w:rPr>
                <w:rFonts w:cstheme="minorHAnsi"/>
              </w:rPr>
              <w:t xml:space="preserve">, navodi li se </w:t>
            </w:r>
            <w:r w:rsidRPr="007E5A92">
              <w:rPr>
                <w:rFonts w:cstheme="minorHAnsi"/>
              </w:rPr>
              <w:t xml:space="preserve">u tablici </w:t>
            </w:r>
            <w:r w:rsidR="00392FC1" w:rsidRPr="007E5A92">
              <w:rPr>
                <w:rFonts w:cstheme="minorHAnsi"/>
              </w:rPr>
              <w:t>„</w:t>
            </w:r>
            <w:r w:rsidRPr="007E5A92">
              <w:rPr>
                <w:rFonts w:cstheme="minorHAnsi"/>
                <w:i/>
                <w:iCs/>
              </w:rPr>
              <w:t>Trenutno stanje postojećih površina vinograda</w:t>
            </w:r>
            <w:r w:rsidR="00392FC1" w:rsidRPr="007E5A92">
              <w:rPr>
                <w:rFonts w:cstheme="minorHAnsi"/>
                <w:i/>
                <w:iCs/>
              </w:rPr>
              <w:t>“</w:t>
            </w:r>
            <w:r w:rsidRPr="007E5A92">
              <w:rPr>
                <w:rFonts w:cstheme="minorHAnsi"/>
              </w:rPr>
              <w:t xml:space="preserve"> cijel</w:t>
            </w:r>
            <w:r w:rsidR="00392FC1" w:rsidRPr="007E5A92">
              <w:rPr>
                <w:rFonts w:cstheme="minorHAnsi"/>
              </w:rPr>
              <w:t>a</w:t>
            </w:r>
            <w:r w:rsidRPr="007E5A92">
              <w:rPr>
                <w:rFonts w:cstheme="minorHAnsi"/>
              </w:rPr>
              <w:t xml:space="preserve"> parcel</w:t>
            </w:r>
            <w:r w:rsidR="00392FC1" w:rsidRPr="007E5A92">
              <w:rPr>
                <w:rFonts w:cstheme="minorHAnsi"/>
              </w:rPr>
              <w:t>a</w:t>
            </w:r>
            <w:r w:rsidRPr="007E5A92">
              <w:rPr>
                <w:rFonts w:cstheme="minorHAnsi"/>
              </w:rPr>
              <w:t xml:space="preserve"> i karakteristike te parcele (naziv sorte, br. trsova, br. redova) ili samo dio parcele koji </w:t>
            </w:r>
            <w:r w:rsidR="00392FC1" w:rsidRPr="007E5A92">
              <w:rPr>
                <w:rFonts w:cstheme="minorHAnsi"/>
              </w:rPr>
              <w:t>se projektom planira restrukturirati</w:t>
            </w:r>
            <w:r w:rsidRPr="007E5A92">
              <w:rPr>
                <w:rFonts w:cstheme="minorHAnsi"/>
              </w:rPr>
              <w:t>?</w:t>
            </w:r>
          </w:p>
          <w:p w:rsidR="00205DEB" w:rsidRPr="007E5A92" w:rsidRDefault="00205DEB" w:rsidP="00205DEB">
            <w:pPr>
              <w:rPr>
                <w:rFonts w:cstheme="minorHAnsi"/>
              </w:rPr>
            </w:pPr>
          </w:p>
        </w:tc>
        <w:tc>
          <w:tcPr>
            <w:tcW w:w="7999" w:type="dxa"/>
          </w:tcPr>
          <w:p w:rsidR="00782133" w:rsidRPr="007E5A92" w:rsidRDefault="00782133" w:rsidP="00782133">
            <w:pPr>
              <w:jc w:val="both"/>
              <w:rPr>
                <w:rFonts w:cstheme="minorHAnsi"/>
                <w:bCs/>
              </w:rPr>
            </w:pPr>
            <w:r w:rsidRPr="007E5A92">
              <w:rPr>
                <w:rFonts w:cstheme="minorHAnsi"/>
                <w:bCs/>
              </w:rPr>
              <w:t xml:space="preserve">U slučaju da je projektom predviđena provedba projekta na dijelu ARKOD parcele, u tablici </w:t>
            </w:r>
            <w:r w:rsidRPr="007E5A92">
              <w:rPr>
                <w:rFonts w:cstheme="minorHAnsi"/>
                <w:bCs/>
                <w:i/>
                <w:iCs/>
              </w:rPr>
              <w:t>Trenutno stanje postojećih površina vinograda</w:t>
            </w:r>
            <w:r w:rsidRPr="007E5A92">
              <w:rPr>
                <w:rFonts w:cstheme="minorHAnsi"/>
                <w:bCs/>
              </w:rPr>
              <w:t xml:space="preserve"> potrebno je upisati podatke vezane uz taj dio parcele na kojem je planirano ulaganje. Također, sukladno Prilogu I. Natječaja potrebno je voditi računa da se na Ispisu slike parcele iz ARKOD te skici plana sadnje jasno obilježi dio ARKOD parcele na kojem je planirano ulaganje.</w:t>
            </w:r>
          </w:p>
          <w:p w:rsidR="00205DEB" w:rsidRPr="007E5A92" w:rsidRDefault="00205DEB" w:rsidP="00205DEB">
            <w:pPr>
              <w:rPr>
                <w:rFonts w:cstheme="minorHAnsi"/>
              </w:rPr>
            </w:pPr>
          </w:p>
        </w:tc>
      </w:tr>
      <w:tr w:rsidR="00AB3E5B" w:rsidRPr="007E5A92" w:rsidTr="00AB3E5B">
        <w:trPr>
          <w:trHeight w:val="938"/>
        </w:trPr>
        <w:tc>
          <w:tcPr>
            <w:tcW w:w="704" w:type="dxa"/>
            <w:vMerge w:val="restart"/>
          </w:tcPr>
          <w:p w:rsidR="00AB3E5B" w:rsidRPr="007E5A92" w:rsidRDefault="00AB3E5B">
            <w:pPr>
              <w:rPr>
                <w:rFonts w:cstheme="minorHAnsi"/>
              </w:rPr>
            </w:pPr>
            <w:r w:rsidRPr="007E5A92">
              <w:rPr>
                <w:rFonts w:cstheme="minorHAnsi"/>
              </w:rPr>
              <w:t>7.</w:t>
            </w:r>
          </w:p>
        </w:tc>
        <w:tc>
          <w:tcPr>
            <w:tcW w:w="5245" w:type="dxa"/>
          </w:tcPr>
          <w:p w:rsidR="00AB3E5B" w:rsidRPr="007E5A92" w:rsidRDefault="00AB3E5B" w:rsidP="00782133">
            <w:pPr>
              <w:rPr>
                <w:rFonts w:cstheme="minorHAnsi"/>
              </w:rPr>
            </w:pPr>
            <w:r w:rsidRPr="007E5A92">
              <w:rPr>
                <w:rFonts w:cstheme="minorHAnsi"/>
              </w:rPr>
              <w:t xml:space="preserve">Je li prihvatljiva konverzija vinograda u kojem se sadi ista sorta, ali uz drugačiji sklop i uzgojni oblik  (prijelaz s uzgojnog oblika jednostruki </w:t>
            </w:r>
            <w:proofErr w:type="spellStart"/>
            <w:r w:rsidRPr="007E5A92">
              <w:rPr>
                <w:rFonts w:cstheme="minorHAnsi"/>
              </w:rPr>
              <w:t>Guyot</w:t>
            </w:r>
            <w:proofErr w:type="spellEnd"/>
            <w:r w:rsidRPr="007E5A92">
              <w:rPr>
                <w:rFonts w:cstheme="minorHAnsi"/>
              </w:rPr>
              <w:t xml:space="preserve"> na uzgojni oblik dvostruki </w:t>
            </w:r>
            <w:proofErr w:type="spellStart"/>
            <w:r w:rsidRPr="007E5A92">
              <w:rPr>
                <w:rFonts w:cstheme="minorHAnsi"/>
              </w:rPr>
              <w:t>Guyot</w:t>
            </w:r>
            <w:proofErr w:type="spellEnd"/>
            <w:r w:rsidRPr="007E5A92">
              <w:rPr>
                <w:rFonts w:cstheme="minorHAnsi"/>
              </w:rPr>
              <w:t xml:space="preserve"> i povećanje sklopa)?</w:t>
            </w:r>
          </w:p>
          <w:p w:rsidR="00AB3E5B" w:rsidRPr="007E5A92" w:rsidRDefault="00AB3E5B" w:rsidP="00205DEB">
            <w:pPr>
              <w:rPr>
                <w:rFonts w:cstheme="minorHAnsi"/>
              </w:rPr>
            </w:pPr>
          </w:p>
        </w:tc>
        <w:tc>
          <w:tcPr>
            <w:tcW w:w="7999" w:type="dxa"/>
            <w:vMerge w:val="restart"/>
          </w:tcPr>
          <w:p w:rsidR="00AB3E5B" w:rsidRPr="007E5A92" w:rsidRDefault="00AB3E5B" w:rsidP="00782133">
            <w:pPr>
              <w:jc w:val="both"/>
              <w:rPr>
                <w:rFonts w:cstheme="minorHAnsi"/>
              </w:rPr>
            </w:pPr>
            <w:r w:rsidRPr="007E5A92">
              <w:rPr>
                <w:rFonts w:cstheme="minorHAnsi"/>
              </w:rPr>
              <w:t xml:space="preserve">Člankom 16. stavkom 16. Pravilnika o provedbi intervencija iz sektora vina unutar SP ZPP Republike Hrvatske 2023.2027 („Narodne novine“, br. 140/23, 152/23, 69/24 </w:t>
            </w:r>
            <w:r w:rsidRPr="007E5A92">
              <w:rPr>
                <w:rFonts w:cstheme="minorHAnsi"/>
                <w:u w:val="single"/>
              </w:rPr>
              <w:t>i 5/25</w:t>
            </w:r>
            <w:r w:rsidRPr="007E5A92">
              <w:rPr>
                <w:rFonts w:cstheme="minorHAnsi"/>
              </w:rPr>
              <w:t>) propisano je da je kod aktivnosti iz stavka 1. točke a) istog članka, sadnja iste sorte uz promjenu gustoće sklopa i/ili uzgojnog oblika je prihvatljiv trošak.</w:t>
            </w:r>
          </w:p>
          <w:p w:rsidR="00AB3E5B" w:rsidRPr="007E5A92" w:rsidRDefault="00AB3E5B" w:rsidP="00782133">
            <w:pPr>
              <w:jc w:val="both"/>
              <w:rPr>
                <w:rFonts w:cstheme="minorHAnsi"/>
              </w:rPr>
            </w:pPr>
            <w:r w:rsidRPr="007E5A92">
              <w:rPr>
                <w:rFonts w:cstheme="minorHAnsi"/>
              </w:rPr>
              <w:t>Dakle, sadnja iste sorte na istoj zemljišnoj parceli uz promjenu gustoće sklopa i/ili uzgojnog oblika je prihvatljiv trošak.</w:t>
            </w:r>
          </w:p>
          <w:p w:rsidR="00AB3E5B" w:rsidRPr="007E5A92" w:rsidRDefault="00AB3E5B" w:rsidP="00205DEB">
            <w:pPr>
              <w:rPr>
                <w:rFonts w:cstheme="minorHAnsi"/>
              </w:rPr>
            </w:pPr>
          </w:p>
        </w:tc>
      </w:tr>
      <w:tr w:rsidR="00AB3E5B" w:rsidRPr="007E5A92" w:rsidTr="00782133">
        <w:trPr>
          <w:trHeight w:val="937"/>
        </w:trPr>
        <w:tc>
          <w:tcPr>
            <w:tcW w:w="704" w:type="dxa"/>
            <w:vMerge/>
          </w:tcPr>
          <w:p w:rsidR="00AB3E5B" w:rsidRPr="007E5A92" w:rsidRDefault="00AB3E5B">
            <w:pPr>
              <w:rPr>
                <w:rFonts w:cstheme="minorHAnsi"/>
              </w:rPr>
            </w:pPr>
          </w:p>
        </w:tc>
        <w:tc>
          <w:tcPr>
            <w:tcW w:w="5245" w:type="dxa"/>
          </w:tcPr>
          <w:p w:rsidR="00AB3E5B" w:rsidRPr="007E5A92" w:rsidRDefault="00AB3E5B" w:rsidP="00782133">
            <w:pPr>
              <w:rPr>
                <w:rFonts w:cstheme="minorHAnsi"/>
              </w:rPr>
            </w:pPr>
            <w:r>
              <w:rPr>
                <w:rFonts w:cstheme="minorHAnsi"/>
              </w:rPr>
              <w:t>Je li je dozvoljena zamjena istom sortom?</w:t>
            </w:r>
          </w:p>
        </w:tc>
        <w:tc>
          <w:tcPr>
            <w:tcW w:w="7999" w:type="dxa"/>
            <w:vMerge/>
          </w:tcPr>
          <w:p w:rsidR="00AB3E5B" w:rsidRPr="007E5A92" w:rsidRDefault="00AB3E5B" w:rsidP="00782133">
            <w:pPr>
              <w:jc w:val="both"/>
              <w:rPr>
                <w:rFonts w:cstheme="minorHAnsi"/>
              </w:rPr>
            </w:pPr>
          </w:p>
        </w:tc>
      </w:tr>
      <w:tr w:rsidR="00205DEB" w:rsidRPr="007E5A92" w:rsidTr="00A65015">
        <w:tc>
          <w:tcPr>
            <w:tcW w:w="704" w:type="dxa"/>
          </w:tcPr>
          <w:p w:rsidR="00205DEB" w:rsidRPr="007E5A92" w:rsidRDefault="00205DEB">
            <w:pPr>
              <w:rPr>
                <w:rFonts w:cstheme="minorHAnsi"/>
              </w:rPr>
            </w:pPr>
            <w:r w:rsidRPr="007E5A92">
              <w:rPr>
                <w:rFonts w:cstheme="minorHAnsi"/>
              </w:rPr>
              <w:t xml:space="preserve">8. </w:t>
            </w:r>
          </w:p>
        </w:tc>
        <w:tc>
          <w:tcPr>
            <w:tcW w:w="5245" w:type="dxa"/>
          </w:tcPr>
          <w:p w:rsidR="003D2730" w:rsidRPr="007E5A92" w:rsidRDefault="003D2730" w:rsidP="003D2730">
            <w:pPr>
              <w:jc w:val="both"/>
              <w:rPr>
                <w:rFonts w:cstheme="minorHAnsi"/>
              </w:rPr>
            </w:pPr>
            <w:r w:rsidRPr="007E5A92">
              <w:rPr>
                <w:rFonts w:cstheme="minorHAnsi"/>
              </w:rPr>
              <w:t>Je li korisnik koji je upisan u evidenciju korisnika u ruralnom razvoju (</w:t>
            </w:r>
            <w:proofErr w:type="spellStart"/>
            <w:r w:rsidRPr="007E5A92">
              <w:rPr>
                <w:rFonts w:cstheme="minorHAnsi"/>
              </w:rPr>
              <w:t>EKPRiR</w:t>
            </w:r>
            <w:proofErr w:type="spellEnd"/>
            <w:r w:rsidRPr="007E5A92">
              <w:rPr>
                <w:rFonts w:cstheme="minorHAnsi"/>
              </w:rPr>
              <w:t>) te već ima pristup AGRONET-u, EONA-i, ... istovremeno upisan i u evidenciju korisnika zajedničke organizacije tržišta? Ili je potrebno dodatno zatražiti još jedan upis?</w:t>
            </w:r>
          </w:p>
          <w:p w:rsidR="00205DEB" w:rsidRPr="007E5A92" w:rsidRDefault="00205DEB" w:rsidP="00205DEB">
            <w:pPr>
              <w:jc w:val="both"/>
              <w:rPr>
                <w:rFonts w:cstheme="minorHAnsi"/>
              </w:rPr>
            </w:pPr>
          </w:p>
        </w:tc>
        <w:tc>
          <w:tcPr>
            <w:tcW w:w="7999" w:type="dxa"/>
          </w:tcPr>
          <w:p w:rsidR="003D2730" w:rsidRPr="007E5A92" w:rsidRDefault="003D2730" w:rsidP="003D2730">
            <w:pPr>
              <w:rPr>
                <w:rFonts w:cstheme="minorHAnsi"/>
                <w:iCs/>
              </w:rPr>
            </w:pPr>
            <w:r w:rsidRPr="007E5A92">
              <w:rPr>
                <w:rFonts w:cstheme="minorHAnsi"/>
                <w:iCs/>
              </w:rPr>
              <w:t>Ukoliko je korisnik</w:t>
            </w:r>
            <w:r w:rsidRPr="007E5A92">
              <w:rPr>
                <w:rFonts w:cstheme="minorHAnsi"/>
              </w:rPr>
              <w:t xml:space="preserve"> </w:t>
            </w:r>
            <w:r w:rsidRPr="007E5A92">
              <w:rPr>
                <w:rFonts w:cstheme="minorHAnsi"/>
                <w:iCs/>
              </w:rPr>
              <w:t>upisan u evidenciju korisnika zajedničke organizacije tržišta i ima pristup kartici „Zajednička organizacija tržišta“ nije potrebno dodatno zatražiti još jedan upis.</w:t>
            </w:r>
          </w:p>
          <w:p w:rsidR="00205DEB" w:rsidRPr="007E5A92" w:rsidRDefault="00205DEB" w:rsidP="00205DEB">
            <w:pPr>
              <w:rPr>
                <w:rFonts w:cstheme="minorHAnsi"/>
              </w:rPr>
            </w:pPr>
          </w:p>
        </w:tc>
      </w:tr>
      <w:tr w:rsidR="00205DEB" w:rsidRPr="007E5A92" w:rsidTr="00A65015">
        <w:tc>
          <w:tcPr>
            <w:tcW w:w="704" w:type="dxa"/>
          </w:tcPr>
          <w:p w:rsidR="00205DEB" w:rsidRPr="007E5A92" w:rsidRDefault="00205DEB">
            <w:pPr>
              <w:rPr>
                <w:rFonts w:cstheme="minorHAnsi"/>
              </w:rPr>
            </w:pPr>
            <w:r w:rsidRPr="007E5A92">
              <w:rPr>
                <w:rFonts w:cstheme="minorHAnsi"/>
              </w:rPr>
              <w:t>9.</w:t>
            </w:r>
          </w:p>
        </w:tc>
        <w:tc>
          <w:tcPr>
            <w:tcW w:w="5245" w:type="dxa"/>
          </w:tcPr>
          <w:p w:rsidR="003D2730" w:rsidRPr="007E5A92" w:rsidRDefault="003D2730" w:rsidP="003D2730">
            <w:pPr>
              <w:jc w:val="both"/>
              <w:rPr>
                <w:rFonts w:cstheme="minorHAnsi"/>
              </w:rPr>
            </w:pPr>
            <w:r w:rsidRPr="007E5A92">
              <w:rPr>
                <w:rFonts w:cstheme="minorHAnsi"/>
              </w:rPr>
              <w:t xml:space="preserve">Prilogom IV. je propisano da je za troškove za koje nisu određena financijska ograničenja, Podnositelj dužan objaviti poziv za podnošenje ponuda te pritom prikupiti tri usporedive ponude. Je li taj poziv, sa svim zadanim </w:t>
            </w:r>
            <w:r w:rsidRPr="007E5A92">
              <w:rPr>
                <w:rFonts w:cstheme="minorHAnsi"/>
              </w:rPr>
              <w:lastRenderedPageBreak/>
              <w:t>elementima (podaci o predmetu nabave, naručitelju, kontakt osobi naručitelja, ...) potrebno negdje javno objaviti ili je dovoljno izravno se obratiti potencijalnim ponuditeljima i izravno prikupiti ponude? Ako je potrebno to javno objaviti, gdje se to objavljuje, koliko to minimalno mora biti objavljeno i postoje li za to upute?</w:t>
            </w:r>
          </w:p>
          <w:p w:rsidR="00205DEB" w:rsidRPr="007E5A92" w:rsidRDefault="00205DEB" w:rsidP="00205DEB">
            <w:pPr>
              <w:jc w:val="both"/>
              <w:rPr>
                <w:rFonts w:cstheme="minorHAnsi"/>
              </w:rPr>
            </w:pPr>
          </w:p>
        </w:tc>
        <w:tc>
          <w:tcPr>
            <w:tcW w:w="7999" w:type="dxa"/>
          </w:tcPr>
          <w:p w:rsidR="003D2730" w:rsidRPr="007E5A92" w:rsidRDefault="003D2730" w:rsidP="003D2730">
            <w:pPr>
              <w:rPr>
                <w:rFonts w:cstheme="minorHAnsi"/>
                <w:iCs/>
              </w:rPr>
            </w:pPr>
            <w:r w:rsidRPr="007E5A92">
              <w:rPr>
                <w:rFonts w:cstheme="minorHAnsi"/>
                <w:iCs/>
              </w:rPr>
              <w:lastRenderedPageBreak/>
              <w:t>Poziv na podnošenje ponuda nije potrebno javno objaviti, dovoljno je izravno se obratiti potencijalnim ponuditeljima i prikupiti tri usporedive ponude te u skladu s kriterijima odabira odabrati najpovoljniju ponudu.</w:t>
            </w:r>
          </w:p>
          <w:p w:rsidR="00205DEB" w:rsidRPr="007E5A92" w:rsidRDefault="00205DEB" w:rsidP="00205DEB">
            <w:pPr>
              <w:rPr>
                <w:rFonts w:cstheme="minorHAnsi"/>
              </w:rPr>
            </w:pPr>
          </w:p>
        </w:tc>
      </w:tr>
      <w:tr w:rsidR="00205DEB" w:rsidRPr="007E5A92" w:rsidTr="00A65015">
        <w:tc>
          <w:tcPr>
            <w:tcW w:w="704" w:type="dxa"/>
          </w:tcPr>
          <w:p w:rsidR="00205DEB" w:rsidRPr="007E5A92" w:rsidRDefault="00205DEB">
            <w:pPr>
              <w:rPr>
                <w:rFonts w:cstheme="minorHAnsi"/>
              </w:rPr>
            </w:pPr>
            <w:r w:rsidRPr="007E5A92">
              <w:rPr>
                <w:rFonts w:cstheme="minorHAnsi"/>
              </w:rPr>
              <w:t>10.</w:t>
            </w:r>
          </w:p>
        </w:tc>
        <w:tc>
          <w:tcPr>
            <w:tcW w:w="5245" w:type="dxa"/>
          </w:tcPr>
          <w:p w:rsidR="003D2730" w:rsidRPr="007E5A92" w:rsidRDefault="003D2730" w:rsidP="003D2730">
            <w:pPr>
              <w:jc w:val="both"/>
              <w:rPr>
                <w:rFonts w:cstheme="minorHAnsi"/>
              </w:rPr>
            </w:pPr>
            <w:r w:rsidRPr="007E5A92">
              <w:rPr>
                <w:rFonts w:cstheme="minorHAnsi"/>
              </w:rPr>
              <w:t xml:space="preserve">Potencijalni prijavitelj na natječaj za intervenciju 58.1.a.01 želi prijaviti kombinaciju projektnih aktivnosti: konverziju vinograda i premještanje vinograda te bi se iste vršile na različitim </w:t>
            </w:r>
            <w:proofErr w:type="spellStart"/>
            <w:r w:rsidRPr="007E5A92">
              <w:rPr>
                <w:rFonts w:cstheme="minorHAnsi"/>
              </w:rPr>
              <w:t>arkod</w:t>
            </w:r>
            <w:proofErr w:type="spellEnd"/>
            <w:r w:rsidRPr="007E5A92">
              <w:rPr>
                <w:rFonts w:cstheme="minorHAnsi"/>
              </w:rPr>
              <w:t xml:space="preserve"> parcelama. U projektu bi prijavitelj želio zatražiti i naknadu za gubitak dohotka. S obzirom na to da se radi o kombinaciji aktivnosti, je li moguće zatražiti naknadu gubitka dohotka samo za parcele na kojima će se odvijati premještanje vinograda?</w:t>
            </w:r>
          </w:p>
          <w:p w:rsidR="00205DEB" w:rsidRPr="007E5A92" w:rsidRDefault="00205DEB" w:rsidP="00205DEB">
            <w:pPr>
              <w:jc w:val="both"/>
              <w:rPr>
                <w:rFonts w:cstheme="minorHAnsi"/>
              </w:rPr>
            </w:pPr>
          </w:p>
        </w:tc>
        <w:tc>
          <w:tcPr>
            <w:tcW w:w="7999" w:type="dxa"/>
          </w:tcPr>
          <w:p w:rsidR="003D2730" w:rsidRPr="007E5A92" w:rsidRDefault="003D2730" w:rsidP="003D2730">
            <w:pPr>
              <w:rPr>
                <w:rFonts w:cstheme="minorHAnsi"/>
              </w:rPr>
            </w:pPr>
            <w:r w:rsidRPr="007E5A92">
              <w:rPr>
                <w:rFonts w:cstheme="minorHAnsi"/>
                <w:iCs/>
              </w:rPr>
              <w:t>Moguće je zatražiti naknadu gubitka dohotka samo za parcele na kojima će se odvijati premještanje vinograda. Naknada za gubitak dohotka kod premještanja vinograda dozvoljava se u vidu istovremenog postojanja starog i novog nasada vinograda u razdoblju koje ne prelazi tri vegetacijske godine od vegetacijske godine u kojoj je podignut novi nasad.</w:t>
            </w:r>
          </w:p>
          <w:p w:rsidR="00205DEB" w:rsidRPr="007E5A92" w:rsidRDefault="00205DEB" w:rsidP="00205DEB">
            <w:pPr>
              <w:rPr>
                <w:rFonts w:cstheme="minorHAnsi"/>
              </w:rPr>
            </w:pPr>
          </w:p>
        </w:tc>
      </w:tr>
      <w:tr w:rsidR="003B6476" w:rsidRPr="007E5A92" w:rsidTr="00A65015">
        <w:tc>
          <w:tcPr>
            <w:tcW w:w="704" w:type="dxa"/>
          </w:tcPr>
          <w:p w:rsidR="003B6476" w:rsidRPr="007E5A92" w:rsidRDefault="003B6476">
            <w:pPr>
              <w:rPr>
                <w:rFonts w:cstheme="minorHAnsi"/>
              </w:rPr>
            </w:pPr>
            <w:r>
              <w:rPr>
                <w:rFonts w:cstheme="minorHAnsi"/>
              </w:rPr>
              <w:t>11.</w:t>
            </w:r>
          </w:p>
        </w:tc>
        <w:tc>
          <w:tcPr>
            <w:tcW w:w="5245" w:type="dxa"/>
          </w:tcPr>
          <w:p w:rsidR="003B6476" w:rsidRPr="003B6476" w:rsidRDefault="003B6476" w:rsidP="003B6476">
            <w:pPr>
              <w:jc w:val="both"/>
              <w:rPr>
                <w:rFonts w:cstheme="minorHAnsi"/>
              </w:rPr>
            </w:pPr>
            <w:r>
              <w:rPr>
                <w:rFonts w:cstheme="minorHAnsi"/>
              </w:rPr>
              <w:t>Može li se na intervenciju 58.1.a.01. restrukturiranje i k</w:t>
            </w:r>
            <w:r w:rsidRPr="003B6476">
              <w:rPr>
                <w:rFonts w:cstheme="minorHAnsi"/>
              </w:rPr>
              <w:t xml:space="preserve">onverzija </w:t>
            </w:r>
            <w:r>
              <w:rPr>
                <w:rFonts w:cstheme="minorHAnsi"/>
              </w:rPr>
              <w:t xml:space="preserve">vinograda </w:t>
            </w:r>
            <w:r w:rsidRPr="003B6476">
              <w:rPr>
                <w:rFonts w:cstheme="minorHAnsi"/>
              </w:rPr>
              <w:t>prijaviti trgovačko društvo koje je osnovano u siječnju 2025.</w:t>
            </w:r>
            <w:r>
              <w:rPr>
                <w:rFonts w:cstheme="minorHAnsi"/>
              </w:rPr>
              <w:t>,</w:t>
            </w:r>
            <w:r w:rsidRPr="003B6476">
              <w:rPr>
                <w:rFonts w:cstheme="minorHAnsi"/>
              </w:rPr>
              <w:t xml:space="preserve"> a ovaj tjedan je u tijeku prijenos površina, upis u registre i registracija kroz </w:t>
            </w:r>
            <w:proofErr w:type="spellStart"/>
            <w:r w:rsidRPr="003B6476">
              <w:rPr>
                <w:rFonts w:cstheme="minorHAnsi"/>
              </w:rPr>
              <w:t>Arkod</w:t>
            </w:r>
            <w:proofErr w:type="spellEnd"/>
            <w:r w:rsidRPr="003B6476">
              <w:rPr>
                <w:rFonts w:cstheme="minorHAnsi"/>
              </w:rPr>
              <w:t xml:space="preserve"> - </w:t>
            </w:r>
            <w:proofErr w:type="spellStart"/>
            <w:r w:rsidRPr="003B6476">
              <w:rPr>
                <w:rFonts w:cstheme="minorHAnsi"/>
              </w:rPr>
              <w:t>Agronet</w:t>
            </w:r>
            <w:proofErr w:type="spellEnd"/>
            <w:r w:rsidRPr="003B6476">
              <w:rPr>
                <w:rFonts w:cstheme="minorHAnsi"/>
              </w:rPr>
              <w:t>?</w:t>
            </w:r>
          </w:p>
          <w:p w:rsidR="003B6476" w:rsidRPr="007E5A92" w:rsidRDefault="003B6476" w:rsidP="003D2730">
            <w:pPr>
              <w:jc w:val="both"/>
              <w:rPr>
                <w:rFonts w:cstheme="minorHAnsi"/>
              </w:rPr>
            </w:pPr>
          </w:p>
        </w:tc>
        <w:tc>
          <w:tcPr>
            <w:tcW w:w="7999" w:type="dxa"/>
          </w:tcPr>
          <w:p w:rsidR="003B6476" w:rsidRPr="003B6476" w:rsidRDefault="003B6476" w:rsidP="003B6476">
            <w:pPr>
              <w:rPr>
                <w:rFonts w:cstheme="minorHAnsi"/>
                <w:iCs/>
              </w:rPr>
            </w:pPr>
            <w:r w:rsidRPr="003B6476">
              <w:rPr>
                <w:rFonts w:cstheme="minorHAnsi"/>
                <w:iCs/>
              </w:rPr>
              <w:t>Sukladno članku 14. i 15. Pravilnika o provedbi intervencija iz sektora vina unutar Strateškog plana zajedničke poljoprivredne politike Republike Hrvatske 2023. – 2027., („Narodne novine“, br. 140/23, 152/23, 69/24, 5/25), (u daljnjem tekstu: Pravilnik) prihvatljivi Podnositelji/korisnici u intervenciji 58.1.a.01. Restrukturiranje i konverzija vinograda su:</w:t>
            </w:r>
          </w:p>
          <w:p w:rsidR="003B6476" w:rsidRPr="003B6476" w:rsidRDefault="003B6476" w:rsidP="003B6476">
            <w:pPr>
              <w:rPr>
                <w:rFonts w:cstheme="minorHAnsi"/>
                <w:iCs/>
              </w:rPr>
            </w:pPr>
            <w:r w:rsidRPr="003B6476">
              <w:rPr>
                <w:rFonts w:cstheme="minorHAnsi"/>
                <w:iCs/>
              </w:rPr>
              <w:t>(1) vinogradari upisani u Vinogradarski registar.</w:t>
            </w:r>
          </w:p>
          <w:p w:rsidR="003B6476" w:rsidRPr="003B6476" w:rsidRDefault="003B6476" w:rsidP="003B6476">
            <w:pPr>
              <w:rPr>
                <w:rFonts w:cstheme="minorHAnsi"/>
                <w:iCs/>
              </w:rPr>
            </w:pPr>
            <w:r w:rsidRPr="003B6476">
              <w:rPr>
                <w:rFonts w:cstheme="minorHAnsi"/>
                <w:iCs/>
              </w:rPr>
              <w:t xml:space="preserve">(2) </w:t>
            </w:r>
            <w:r>
              <w:rPr>
                <w:rFonts w:cstheme="minorHAnsi"/>
                <w:iCs/>
              </w:rPr>
              <w:t>k</w:t>
            </w:r>
            <w:r w:rsidRPr="003B6476">
              <w:rPr>
                <w:rFonts w:cstheme="minorHAnsi"/>
                <w:iCs/>
              </w:rPr>
              <w:t>orisnici koji su fizičke osobe, moraju biti obveznici poreza na dohodak/dobit.</w:t>
            </w:r>
          </w:p>
          <w:p w:rsidR="003B6476" w:rsidRPr="003B6476" w:rsidRDefault="003B6476" w:rsidP="003B6476">
            <w:pPr>
              <w:rPr>
                <w:rFonts w:cstheme="minorHAnsi"/>
                <w:iCs/>
              </w:rPr>
            </w:pPr>
            <w:r w:rsidRPr="003B6476">
              <w:rPr>
                <w:rFonts w:cstheme="minorHAnsi"/>
                <w:iCs/>
              </w:rPr>
              <w:t>Također, Podnositelj  je dužan dokazati da u vrijeme podnošenja zahtjeva za potporu raspolaže površinama na kojima se planira provođenje intervencije 58.1.a.01. Restrukturiranje i konverzija vinograda, a dužan je osigurati raspolaganje površinama tijekom pet godina nakon donošenja potvrde o završenoj intervenciji.</w:t>
            </w:r>
          </w:p>
          <w:p w:rsidR="003B6476" w:rsidRPr="003B6476" w:rsidRDefault="003B6476" w:rsidP="003B6476">
            <w:pPr>
              <w:rPr>
                <w:rFonts w:cstheme="minorHAnsi"/>
                <w:iCs/>
              </w:rPr>
            </w:pPr>
            <w:r w:rsidRPr="003B6476">
              <w:rPr>
                <w:rFonts w:cstheme="minorHAnsi"/>
                <w:iCs/>
              </w:rPr>
              <w:t>Svi podaci Podnositelja koji se vode u Vinogradarskom registru i Upisniku poljoprivrednika moraju biti točni i ažurirani.</w:t>
            </w:r>
          </w:p>
          <w:p w:rsidR="003B6476" w:rsidRPr="003B6476" w:rsidRDefault="003B6476" w:rsidP="003B6476">
            <w:pPr>
              <w:rPr>
                <w:rFonts w:cstheme="minorHAnsi"/>
                <w:iCs/>
              </w:rPr>
            </w:pPr>
            <w:r w:rsidRPr="003B6476">
              <w:rPr>
                <w:rFonts w:cstheme="minorHAnsi"/>
                <w:iCs/>
              </w:rPr>
              <w:t xml:space="preserve">S obzirom da je u pitanju navedeno da je u ovom tjednu u tijeku prijenos površina, upis u registre i registracija kroz </w:t>
            </w:r>
            <w:proofErr w:type="spellStart"/>
            <w:r w:rsidRPr="003B6476">
              <w:rPr>
                <w:rFonts w:cstheme="minorHAnsi"/>
                <w:iCs/>
              </w:rPr>
              <w:t>Arkod</w:t>
            </w:r>
            <w:proofErr w:type="spellEnd"/>
            <w:r w:rsidRPr="003B6476">
              <w:rPr>
                <w:rFonts w:cstheme="minorHAnsi"/>
                <w:iCs/>
              </w:rPr>
              <w:t xml:space="preserve"> – </w:t>
            </w:r>
            <w:proofErr w:type="spellStart"/>
            <w:r w:rsidRPr="003B6476">
              <w:rPr>
                <w:rFonts w:cstheme="minorHAnsi"/>
                <w:iCs/>
              </w:rPr>
              <w:t>Agronet</w:t>
            </w:r>
            <w:proofErr w:type="spellEnd"/>
            <w:r w:rsidRPr="003B6476">
              <w:rPr>
                <w:rFonts w:cstheme="minorHAnsi"/>
                <w:iCs/>
              </w:rPr>
              <w:t xml:space="preserve"> napominjemo kako je člankom 43. stavkom 3. Pravilnika navedeno da promjene uvjeta kod Podnositelja, nastale nakon objave natječaja radi ostvarivanja bodova, nisu prihvatljive.</w:t>
            </w:r>
          </w:p>
          <w:p w:rsidR="003B6476" w:rsidRPr="003B6476" w:rsidRDefault="003B6476" w:rsidP="003B6476">
            <w:pPr>
              <w:rPr>
                <w:rFonts w:cstheme="minorHAnsi"/>
                <w:b/>
                <w:bCs/>
                <w:iCs/>
              </w:rPr>
            </w:pPr>
          </w:p>
          <w:p w:rsidR="003B6476" w:rsidRPr="007E5A92" w:rsidRDefault="003B6476" w:rsidP="003D2730">
            <w:pPr>
              <w:rPr>
                <w:rFonts w:cstheme="minorHAnsi"/>
                <w:iCs/>
              </w:rPr>
            </w:pPr>
          </w:p>
        </w:tc>
      </w:tr>
      <w:tr w:rsidR="00E31884" w:rsidRPr="007E5A92" w:rsidTr="00A65015">
        <w:tc>
          <w:tcPr>
            <w:tcW w:w="704" w:type="dxa"/>
          </w:tcPr>
          <w:p w:rsidR="00E31884" w:rsidRDefault="00347724">
            <w:pPr>
              <w:rPr>
                <w:rFonts w:cstheme="minorHAnsi"/>
              </w:rPr>
            </w:pPr>
            <w:r>
              <w:rPr>
                <w:rFonts w:cstheme="minorHAnsi"/>
              </w:rPr>
              <w:lastRenderedPageBreak/>
              <w:t>12.</w:t>
            </w:r>
          </w:p>
        </w:tc>
        <w:tc>
          <w:tcPr>
            <w:tcW w:w="5245" w:type="dxa"/>
          </w:tcPr>
          <w:p w:rsidR="002C6A9A" w:rsidRPr="002C6A9A" w:rsidRDefault="002C6A9A" w:rsidP="002C6A9A">
            <w:pPr>
              <w:jc w:val="both"/>
              <w:rPr>
                <w:rFonts w:cstheme="minorHAnsi"/>
              </w:rPr>
            </w:pPr>
            <w:r w:rsidRPr="002C6A9A">
              <w:rPr>
                <w:rFonts w:cstheme="minorHAnsi"/>
              </w:rPr>
              <w:t>Korisnik planira postojeći vinograd preseliti na drugu lokaciju ulaganja te projekt prijaviti na Intervenciju 58.1.a.01. RESTRVINERY.</w:t>
            </w:r>
          </w:p>
          <w:p w:rsidR="002C6A9A" w:rsidRPr="002C6A9A" w:rsidRDefault="002C6A9A" w:rsidP="002C6A9A">
            <w:pPr>
              <w:jc w:val="both"/>
              <w:rPr>
                <w:rFonts w:cstheme="minorHAnsi"/>
              </w:rPr>
            </w:pPr>
            <w:r w:rsidRPr="002C6A9A">
              <w:rPr>
                <w:rFonts w:cstheme="minorHAnsi"/>
              </w:rPr>
              <w:t>Vinograd koji se planira krčiti u vlasništvu je korisnika i u AKOD sustavu upisan je pod Vinograd. Lokacija ulaganja, odnosno oranica na koju se vinograd planira premjestiti također je u vlasništvu korisnika, međutim zemljište još nije upisano u ARKOD ustav.</w:t>
            </w:r>
          </w:p>
          <w:p w:rsidR="002C6A9A" w:rsidRPr="002C6A9A" w:rsidRDefault="002C6A9A" w:rsidP="002C6A9A">
            <w:pPr>
              <w:jc w:val="both"/>
              <w:rPr>
                <w:rFonts w:cstheme="minorHAnsi"/>
              </w:rPr>
            </w:pPr>
            <w:r w:rsidRPr="002C6A9A">
              <w:rPr>
                <w:rFonts w:cstheme="minorHAnsi"/>
              </w:rPr>
              <w:t>Molimo vas odgovor na pitanje je li moguće upisati Vinograd u ARKOD sustav nakon premještanje vinograda, ili je za potrebe prijave projekta na Natječaj potrebno da i lokacija ulaganja (oranica na koju će se premještati vinograd) bude upisana u ARKOD sustav u trenutku Prijave projekta na Natječaj</w:t>
            </w:r>
            <w:r>
              <w:rPr>
                <w:rFonts w:cstheme="minorHAnsi"/>
              </w:rPr>
              <w:t>?</w:t>
            </w:r>
          </w:p>
          <w:p w:rsidR="00E31884" w:rsidRDefault="00E31884" w:rsidP="003B6476">
            <w:pPr>
              <w:jc w:val="both"/>
              <w:rPr>
                <w:rFonts w:cstheme="minorHAnsi"/>
              </w:rPr>
            </w:pPr>
          </w:p>
        </w:tc>
        <w:tc>
          <w:tcPr>
            <w:tcW w:w="7999" w:type="dxa"/>
          </w:tcPr>
          <w:p w:rsidR="002C6A9A" w:rsidRPr="002C6A9A" w:rsidRDefault="002C6A9A" w:rsidP="002C6A9A">
            <w:pPr>
              <w:jc w:val="both"/>
              <w:rPr>
                <w:rFonts w:cstheme="minorHAnsi"/>
                <w:iCs/>
              </w:rPr>
            </w:pPr>
            <w:r w:rsidRPr="002C6A9A">
              <w:rPr>
                <w:rFonts w:cstheme="minorHAnsi"/>
                <w:iCs/>
              </w:rPr>
              <w:t>Članak 15. stavak 2. Pravilnika o provedbi intervencija iz sektora vina unutar Strateškog plana zajedničke poljoprivredne politike Republike Hrvatske 2023. – 2027., („Narodne novine“, br. 140/23, 152/23, 69/24, 5/25) propisuje da za vinograd koji se premješta na drugu lokaciju mora se prijaviti identifikacijski broj (ID) ARKOD parcele vinograda koji se premješta i/ili krči te identifikacijski broj (ID) ARKOD parcele na koju se novi vinograd sadi,</w:t>
            </w:r>
            <w:r>
              <w:rPr>
                <w:rFonts w:cstheme="minorHAnsi"/>
                <w:iCs/>
              </w:rPr>
              <w:t xml:space="preserve"> </w:t>
            </w:r>
            <w:r w:rsidRPr="002C6A9A">
              <w:rPr>
                <w:rFonts w:cstheme="minorHAnsi"/>
                <w:iCs/>
              </w:rPr>
              <w:t>jer nisu prihvatljive površine na kojima se prijavljuje nova sadnja ili premještanje vinograda bez prijavljenih postojećih površina vinograda predviđenih za krčenje.</w:t>
            </w:r>
          </w:p>
          <w:p w:rsidR="002C6A9A" w:rsidRPr="002C6A9A" w:rsidRDefault="002C6A9A" w:rsidP="002C6A9A">
            <w:pPr>
              <w:jc w:val="both"/>
              <w:rPr>
                <w:rFonts w:cstheme="minorHAnsi"/>
                <w:iCs/>
              </w:rPr>
            </w:pPr>
          </w:p>
          <w:p w:rsidR="002C6A9A" w:rsidRPr="002C6A9A" w:rsidRDefault="002C6A9A" w:rsidP="002C6A9A">
            <w:pPr>
              <w:jc w:val="both"/>
              <w:rPr>
                <w:rFonts w:cstheme="minorHAnsi"/>
                <w:iCs/>
              </w:rPr>
            </w:pPr>
            <w:r w:rsidRPr="002C6A9A">
              <w:rPr>
                <w:rFonts w:cstheme="minorHAnsi"/>
                <w:iCs/>
              </w:rPr>
              <w:t xml:space="preserve">Dakle, obje parcele (i ona koja se krči i ona na kojoj se sadi) moraju biti upisane u ARKOD sustav u trenutku podnošenja zahtjeva za potporu. </w:t>
            </w:r>
          </w:p>
          <w:p w:rsidR="00E31884" w:rsidRPr="003B6476" w:rsidRDefault="00E31884" w:rsidP="003B6476">
            <w:pPr>
              <w:rPr>
                <w:rFonts w:cstheme="minorHAnsi"/>
                <w:iCs/>
              </w:rPr>
            </w:pPr>
          </w:p>
        </w:tc>
      </w:tr>
      <w:tr w:rsidR="002C6A9A" w:rsidRPr="007E5A92" w:rsidTr="00A65015">
        <w:tc>
          <w:tcPr>
            <w:tcW w:w="704" w:type="dxa"/>
          </w:tcPr>
          <w:p w:rsidR="002C6A9A" w:rsidRDefault="002C6A9A">
            <w:pPr>
              <w:rPr>
                <w:rFonts w:cstheme="minorHAnsi"/>
              </w:rPr>
            </w:pPr>
            <w:r>
              <w:rPr>
                <w:rFonts w:cstheme="minorHAnsi"/>
              </w:rPr>
              <w:t>13.</w:t>
            </w:r>
          </w:p>
        </w:tc>
        <w:tc>
          <w:tcPr>
            <w:tcW w:w="5245" w:type="dxa"/>
          </w:tcPr>
          <w:p w:rsidR="002C6A9A" w:rsidRPr="002C6A9A" w:rsidRDefault="002C6A9A" w:rsidP="002C6A9A">
            <w:pPr>
              <w:jc w:val="both"/>
              <w:rPr>
                <w:rFonts w:cstheme="minorHAnsi"/>
              </w:rPr>
            </w:pPr>
            <w:r w:rsidRPr="002C6A9A">
              <w:rPr>
                <w:rFonts w:cstheme="minorHAnsi"/>
              </w:rPr>
              <w:t xml:space="preserve">Vezano za PRILOG V, Prikupljanje ponuda u uputama stoji kako je podnositelj </w:t>
            </w:r>
            <w:r w:rsidRPr="000A42F7">
              <w:rPr>
                <w:rFonts w:cstheme="minorHAnsi"/>
                <w:bCs/>
                <w:iCs/>
              </w:rPr>
              <w:t>dužan izravno prikupiti</w:t>
            </w:r>
            <w:r w:rsidRPr="002C6A9A">
              <w:rPr>
                <w:rFonts w:cstheme="minorHAnsi"/>
              </w:rPr>
              <w:t xml:space="preserve"> ponude od ponuditelja za sve prihvatljive troškove projekta. </w:t>
            </w:r>
          </w:p>
          <w:p w:rsidR="002C6A9A" w:rsidRPr="000A42F7" w:rsidRDefault="002C6A9A" w:rsidP="002C6A9A">
            <w:pPr>
              <w:jc w:val="both"/>
              <w:rPr>
                <w:rFonts w:cstheme="minorHAnsi"/>
                <w:bCs/>
              </w:rPr>
            </w:pPr>
            <w:r w:rsidRPr="002C6A9A">
              <w:rPr>
                <w:rFonts w:cstheme="minorHAnsi"/>
              </w:rPr>
              <w:t>Nadalje</w:t>
            </w:r>
            <w:r>
              <w:rPr>
                <w:rFonts w:cstheme="minorHAnsi"/>
              </w:rPr>
              <w:t>,</w:t>
            </w:r>
            <w:r w:rsidRPr="002C6A9A">
              <w:rPr>
                <w:rFonts w:cstheme="minorHAnsi"/>
              </w:rPr>
              <w:t xml:space="preserve"> stoji kako je za troškove za koje su određena financijska ograničenja dužan prikupiti jednu ponudu, dok je za prihvatljive troškove za koje nisu određene financijska ograničenja, </w:t>
            </w:r>
            <w:r w:rsidRPr="000A42F7">
              <w:rPr>
                <w:rFonts w:cstheme="minorHAnsi"/>
                <w:bCs/>
              </w:rPr>
              <w:t xml:space="preserve">podnositelj je dužan izravno prikupiti 3 usporedive ponude. </w:t>
            </w:r>
          </w:p>
          <w:p w:rsidR="002C6A9A" w:rsidRPr="002C6A9A" w:rsidRDefault="002C6A9A" w:rsidP="002C6A9A">
            <w:pPr>
              <w:jc w:val="both"/>
              <w:rPr>
                <w:rFonts w:cstheme="minorHAnsi"/>
              </w:rPr>
            </w:pPr>
            <w:r w:rsidRPr="002C6A9A">
              <w:rPr>
                <w:rFonts w:cstheme="minorHAnsi"/>
              </w:rPr>
              <w:t xml:space="preserve">Za odabir  najpovoljnije ponude podnositelj je dužan objavit poziv na podnošenje ponuda i prikupiti 3 usporedive ponude. Molimo Vas odgovor na pitanje </w:t>
            </w:r>
            <w:r w:rsidRPr="002C6A9A">
              <w:rPr>
                <w:rFonts w:cstheme="minorHAnsi"/>
                <w:bCs/>
                <w:iCs/>
              </w:rPr>
              <w:t>što podrazumijevate pod time da je dužan objaviti Poziv na dostavu ponude, odnosno gdje je korisnik dužan objaviti navedeni Poziv</w:t>
            </w:r>
            <w:r>
              <w:rPr>
                <w:rFonts w:cstheme="minorHAnsi"/>
                <w:bCs/>
                <w:iCs/>
              </w:rPr>
              <w:t>?</w:t>
            </w:r>
          </w:p>
          <w:p w:rsidR="002C6A9A" w:rsidRPr="002C6A9A" w:rsidRDefault="002C6A9A" w:rsidP="002C6A9A">
            <w:pPr>
              <w:jc w:val="both"/>
              <w:rPr>
                <w:rFonts w:cstheme="minorHAnsi"/>
              </w:rPr>
            </w:pPr>
          </w:p>
        </w:tc>
        <w:tc>
          <w:tcPr>
            <w:tcW w:w="7999" w:type="dxa"/>
          </w:tcPr>
          <w:p w:rsidR="002C6A9A" w:rsidRPr="002C6A9A" w:rsidRDefault="002C6A9A" w:rsidP="002C6A9A">
            <w:pPr>
              <w:jc w:val="both"/>
              <w:rPr>
                <w:rFonts w:cstheme="minorHAnsi"/>
                <w:iCs/>
              </w:rPr>
            </w:pPr>
            <w:r w:rsidRPr="002C6A9A">
              <w:rPr>
                <w:rFonts w:cstheme="minorHAnsi"/>
                <w:iCs/>
              </w:rPr>
              <w:t>Poziv na podnošenje ponuda nije potrebno javno objaviti, dovoljno je isti izravno poslati potencijalnim ponuditeljima i prikupiti tri usporedive ponude te u skladu s kriterijima odabira (koji su navedeni u pozivu na podnošenje ponuda) odabrati najpovoljniju ponudu.</w:t>
            </w:r>
          </w:p>
          <w:p w:rsidR="002C6A9A" w:rsidRPr="002C6A9A" w:rsidRDefault="002C6A9A" w:rsidP="002C6A9A">
            <w:pPr>
              <w:jc w:val="both"/>
              <w:rPr>
                <w:rFonts w:cstheme="minorHAnsi"/>
                <w:iCs/>
              </w:rPr>
            </w:pPr>
          </w:p>
          <w:p w:rsidR="002C6A9A" w:rsidRPr="002C6A9A" w:rsidRDefault="002C6A9A" w:rsidP="002C6A9A">
            <w:pPr>
              <w:jc w:val="both"/>
              <w:rPr>
                <w:rFonts w:cstheme="minorHAnsi"/>
                <w:iCs/>
              </w:rPr>
            </w:pPr>
          </w:p>
        </w:tc>
      </w:tr>
      <w:tr w:rsidR="002C6A9A" w:rsidRPr="007E5A92" w:rsidTr="00A65015">
        <w:tc>
          <w:tcPr>
            <w:tcW w:w="704" w:type="dxa"/>
          </w:tcPr>
          <w:p w:rsidR="002C6A9A" w:rsidRDefault="002C6A9A">
            <w:pPr>
              <w:rPr>
                <w:rFonts w:cstheme="minorHAnsi"/>
              </w:rPr>
            </w:pPr>
            <w:r>
              <w:rPr>
                <w:rFonts w:cstheme="minorHAnsi"/>
              </w:rPr>
              <w:lastRenderedPageBreak/>
              <w:t>14.</w:t>
            </w:r>
          </w:p>
        </w:tc>
        <w:tc>
          <w:tcPr>
            <w:tcW w:w="5245" w:type="dxa"/>
          </w:tcPr>
          <w:p w:rsidR="002C6A9A" w:rsidRPr="002C6A9A" w:rsidRDefault="002C6A9A" w:rsidP="002C6A9A">
            <w:pPr>
              <w:jc w:val="both"/>
              <w:rPr>
                <w:rFonts w:cstheme="minorHAnsi"/>
              </w:rPr>
            </w:pPr>
            <w:r w:rsidRPr="002C6A9A">
              <w:rPr>
                <w:rFonts w:cstheme="minorHAnsi"/>
              </w:rPr>
              <w:t xml:space="preserve">Korisnik planira premještati </w:t>
            </w:r>
            <w:r>
              <w:rPr>
                <w:rFonts w:cstheme="minorHAnsi"/>
              </w:rPr>
              <w:t>v</w:t>
            </w:r>
            <w:r w:rsidRPr="002C6A9A">
              <w:rPr>
                <w:rFonts w:cstheme="minorHAnsi"/>
              </w:rPr>
              <w:t>inograd na drugu ARKOD ID česticu i mijenjati sortu vinove loze</w:t>
            </w:r>
            <w:r>
              <w:rPr>
                <w:rFonts w:cstheme="minorHAnsi"/>
              </w:rPr>
              <w:t>. M</w:t>
            </w:r>
            <w:r w:rsidRPr="002C6A9A">
              <w:rPr>
                <w:rFonts w:cstheme="minorHAnsi"/>
              </w:rPr>
              <w:t>olimo odgovor na pitanje ostvaruje li pravo na bodove po točki br. 8  </w:t>
            </w:r>
            <w:r>
              <w:rPr>
                <w:rFonts w:cstheme="minorHAnsi"/>
              </w:rPr>
              <w:t>k</w:t>
            </w:r>
            <w:r w:rsidRPr="002C6A9A">
              <w:rPr>
                <w:rFonts w:cstheme="minorHAnsi"/>
              </w:rPr>
              <w:t>riterija rangiranja?</w:t>
            </w:r>
          </w:p>
          <w:p w:rsidR="002C6A9A" w:rsidRPr="002C6A9A" w:rsidRDefault="002C6A9A" w:rsidP="002C6A9A">
            <w:pPr>
              <w:jc w:val="both"/>
              <w:rPr>
                <w:rFonts w:cstheme="minorHAnsi"/>
              </w:rPr>
            </w:pPr>
            <w:r w:rsidRPr="002C6A9A">
              <w:rPr>
                <w:rFonts w:cstheme="minorHAnsi"/>
              </w:rPr>
              <w:t>Ili pak za navedeni kriterij bodove ostvaruju samo korisnici koji zamjenjuju sortu na istoj parceli koju krče?</w:t>
            </w:r>
          </w:p>
          <w:p w:rsidR="002C6A9A" w:rsidRPr="002C6A9A" w:rsidRDefault="002C6A9A" w:rsidP="002C6A9A">
            <w:pPr>
              <w:jc w:val="both"/>
              <w:rPr>
                <w:rFonts w:cstheme="minorHAnsi"/>
              </w:rPr>
            </w:pPr>
          </w:p>
        </w:tc>
        <w:tc>
          <w:tcPr>
            <w:tcW w:w="7999" w:type="dxa"/>
          </w:tcPr>
          <w:p w:rsidR="002C6A9A" w:rsidRPr="002C6A9A" w:rsidRDefault="002C6A9A" w:rsidP="002C6A9A">
            <w:pPr>
              <w:jc w:val="both"/>
              <w:rPr>
                <w:rFonts w:cstheme="minorHAnsi"/>
                <w:iCs/>
              </w:rPr>
            </w:pPr>
            <w:r w:rsidRPr="002C6A9A">
              <w:rPr>
                <w:rFonts w:cstheme="minorHAnsi"/>
                <w:iCs/>
              </w:rPr>
              <w:t>Podnositelj koji premješta vinograd na drugu lokaciju i mijenja sortu ostvaruje pravo na bodove po kriteriju 8.</w:t>
            </w:r>
          </w:p>
          <w:p w:rsidR="002C6A9A" w:rsidRPr="002C6A9A" w:rsidRDefault="002C6A9A" w:rsidP="002C6A9A">
            <w:pPr>
              <w:jc w:val="both"/>
              <w:rPr>
                <w:rFonts w:cstheme="minorHAnsi"/>
                <w:iCs/>
              </w:rPr>
            </w:pPr>
          </w:p>
        </w:tc>
      </w:tr>
      <w:tr w:rsidR="006175E1" w:rsidRPr="007E5A92" w:rsidTr="00A65015">
        <w:tc>
          <w:tcPr>
            <w:tcW w:w="704" w:type="dxa"/>
          </w:tcPr>
          <w:p w:rsidR="006175E1" w:rsidRDefault="006175E1">
            <w:pPr>
              <w:rPr>
                <w:rFonts w:cstheme="minorHAnsi"/>
              </w:rPr>
            </w:pPr>
            <w:r>
              <w:rPr>
                <w:rFonts w:cstheme="minorHAnsi"/>
              </w:rPr>
              <w:t>15.</w:t>
            </w:r>
          </w:p>
        </w:tc>
        <w:tc>
          <w:tcPr>
            <w:tcW w:w="5245" w:type="dxa"/>
          </w:tcPr>
          <w:p w:rsidR="006175E1" w:rsidRDefault="006175E1" w:rsidP="006175E1">
            <w:pPr>
              <w:pStyle w:val="NormalWeb"/>
            </w:pPr>
            <w:r>
              <w:t>Koliko dugo smije trajati provedba projekta za intervenciju Restrukturiranje i konverzija vinograda?</w:t>
            </w:r>
          </w:p>
          <w:p w:rsidR="006175E1" w:rsidRPr="002C6A9A" w:rsidRDefault="006175E1" w:rsidP="002C6A9A">
            <w:pPr>
              <w:jc w:val="both"/>
              <w:rPr>
                <w:rFonts w:cstheme="minorHAnsi"/>
              </w:rPr>
            </w:pPr>
          </w:p>
        </w:tc>
        <w:tc>
          <w:tcPr>
            <w:tcW w:w="7999" w:type="dxa"/>
          </w:tcPr>
          <w:p w:rsidR="006175E1" w:rsidRPr="006175E1" w:rsidRDefault="006175E1" w:rsidP="006175E1">
            <w:pPr>
              <w:jc w:val="both"/>
              <w:rPr>
                <w:rFonts w:cstheme="minorHAnsi"/>
                <w:iCs/>
              </w:rPr>
            </w:pPr>
            <w:r w:rsidRPr="006175E1">
              <w:rPr>
                <w:rFonts w:cstheme="minorHAnsi"/>
                <w:iCs/>
              </w:rPr>
              <w:t xml:space="preserve">Članak 50. stavak 1. Pravilnika o provedbi intervencija iz sektora vina unutar Strateškog plana Zajedničke poljoprivredne politike Republike Hrvatske 2023. – 2027. („Narodne novine 140/23, 152/23, 69/24, 5/25) propisuje da se Odlukom o dodjeli sredstava određuje rok završetka projekta koji je u pravilu </w:t>
            </w:r>
            <w:r w:rsidRPr="006175E1">
              <w:rPr>
                <w:rFonts w:cstheme="minorHAnsi"/>
                <w:bCs/>
                <w:iCs/>
              </w:rPr>
              <w:t>godinu dana</w:t>
            </w:r>
            <w:r w:rsidRPr="006175E1">
              <w:rPr>
                <w:rFonts w:cstheme="minorHAnsi"/>
                <w:iCs/>
              </w:rPr>
              <w:t xml:space="preserve"> </w:t>
            </w:r>
            <w:r w:rsidRPr="006175E1">
              <w:rPr>
                <w:rFonts w:cstheme="minorHAnsi"/>
                <w:bCs/>
                <w:iCs/>
              </w:rPr>
              <w:t>od dana izdavanja odluke u intervencij</w:t>
            </w:r>
            <w:r>
              <w:rPr>
                <w:rFonts w:cstheme="minorHAnsi"/>
                <w:bCs/>
                <w:iCs/>
              </w:rPr>
              <w:t>i</w:t>
            </w:r>
            <w:r w:rsidRPr="006175E1">
              <w:rPr>
                <w:rFonts w:cstheme="minorHAnsi"/>
                <w:iCs/>
              </w:rPr>
              <w:t xml:space="preserve"> </w:t>
            </w:r>
            <w:r w:rsidRPr="006175E1">
              <w:rPr>
                <w:rFonts w:cstheme="minorHAnsi"/>
                <w:bCs/>
                <w:iCs/>
              </w:rPr>
              <w:t>58.1.a.01. Restrukturiranje i konverzija vinograda</w:t>
            </w:r>
            <w:r w:rsidRPr="006175E1">
              <w:rPr>
                <w:rFonts w:cstheme="minorHAnsi"/>
                <w:iCs/>
              </w:rPr>
              <w:t>, međutim ako je predviđena naknada za gubitak dohotka u vidu istovremenog postojanja starih i novih nasada rok završetka aktivnosti krčenja starog nasada se određuje na način da ne prelazi tri vegetacijske godine od vegetacijske godine u kojoj je podignut novi nasad.</w:t>
            </w:r>
          </w:p>
          <w:p w:rsidR="006175E1" w:rsidRPr="002C6A9A" w:rsidRDefault="006175E1" w:rsidP="002C6A9A">
            <w:pPr>
              <w:jc w:val="both"/>
              <w:rPr>
                <w:rFonts w:cstheme="minorHAnsi"/>
                <w:iCs/>
              </w:rPr>
            </w:pPr>
          </w:p>
        </w:tc>
      </w:tr>
      <w:tr w:rsidR="00B51085" w:rsidRPr="007E5A92" w:rsidTr="00A65015">
        <w:tc>
          <w:tcPr>
            <w:tcW w:w="704" w:type="dxa"/>
          </w:tcPr>
          <w:p w:rsidR="00B51085" w:rsidRDefault="00B51085">
            <w:pPr>
              <w:rPr>
                <w:rFonts w:cstheme="minorHAnsi"/>
              </w:rPr>
            </w:pPr>
            <w:r>
              <w:rPr>
                <w:rFonts w:cstheme="minorHAnsi"/>
              </w:rPr>
              <w:t>16.</w:t>
            </w:r>
          </w:p>
        </w:tc>
        <w:tc>
          <w:tcPr>
            <w:tcW w:w="5245" w:type="dxa"/>
          </w:tcPr>
          <w:p w:rsidR="00B51085" w:rsidRDefault="00B51085" w:rsidP="00B51085">
            <w:r>
              <w:t xml:space="preserve">Nastavno na odredbu u Natječaju za </w:t>
            </w:r>
            <w:r w:rsidR="00613A21">
              <w:t>intervenciju</w:t>
            </w:r>
            <w:r>
              <w:t xml:space="preserve"> Konverzija stoji sljedeće:</w:t>
            </w:r>
          </w:p>
          <w:p w:rsidR="00B51085" w:rsidRDefault="00B51085" w:rsidP="00613A21">
            <w:pPr>
              <w:jc w:val="both"/>
              <w:rPr>
                <w:rFonts w:ascii="Aptos" w:hAnsi="Aptos"/>
                <w:sz w:val="24"/>
                <w:szCs w:val="24"/>
                <w:lang w:eastAsia="hr-HR"/>
              </w:rPr>
            </w:pPr>
            <w:r>
              <w:rPr>
                <w:color w:val="000000"/>
                <w:lang w:eastAsia="hr-HR"/>
              </w:rPr>
              <w:t xml:space="preserve">Podnositelj je dužan dokazati da u vrijeme podnošenja zahtjeva za potporu raspolaže površinama na </w:t>
            </w:r>
            <w:r>
              <w:rPr>
                <w:rFonts w:ascii="Aptos" w:hAnsi="Aptos"/>
                <w:sz w:val="24"/>
                <w:szCs w:val="24"/>
                <w:lang w:eastAsia="hr-HR"/>
              </w:rPr>
              <w:t> </w:t>
            </w:r>
            <w:r>
              <w:rPr>
                <w:color w:val="000000"/>
                <w:lang w:eastAsia="hr-HR"/>
              </w:rPr>
              <w:t xml:space="preserve">kojima se planira provođenje intervencije 58.1.a.01. Restrukturiranje i konverzija vinograda, a dužan je osigurati raspolaganje površinama tijekom pet godina nakon donošenja potvrde o završenoj </w:t>
            </w:r>
          </w:p>
          <w:p w:rsidR="00B51085" w:rsidRDefault="00B51085" w:rsidP="00613A21">
            <w:pPr>
              <w:jc w:val="both"/>
              <w:rPr>
                <w:rFonts w:ascii="Calibri" w:hAnsi="Calibri"/>
                <w:color w:val="000000"/>
                <w:lang w:eastAsia="hr-HR"/>
              </w:rPr>
            </w:pPr>
            <w:r>
              <w:rPr>
                <w:color w:val="000000"/>
                <w:lang w:eastAsia="hr-HR"/>
              </w:rPr>
              <w:t>intervenciji.</w:t>
            </w:r>
          </w:p>
          <w:p w:rsidR="00B51085" w:rsidRDefault="00B51085" w:rsidP="00613A21">
            <w:pPr>
              <w:jc w:val="both"/>
              <w:rPr>
                <w:color w:val="000000"/>
                <w:lang w:eastAsia="hr-HR"/>
              </w:rPr>
            </w:pPr>
            <w:r>
              <w:rPr>
                <w:color w:val="000000"/>
                <w:lang w:eastAsia="hr-HR"/>
              </w:rPr>
              <w:t>Naime, radi se korisniku koji premješta vinograd sa jedne lokacije na drugu, s time da temeljem Ugovora o zakupu raspolaže površinama koje planira krčiti, te površinama na kojima planira sadnju.</w:t>
            </w:r>
          </w:p>
          <w:p w:rsidR="00B51085" w:rsidRDefault="00B51085" w:rsidP="00613A21">
            <w:pPr>
              <w:jc w:val="both"/>
              <w:rPr>
                <w:color w:val="000000"/>
                <w:lang w:eastAsia="hr-HR"/>
              </w:rPr>
            </w:pPr>
            <w:r>
              <w:rPr>
                <w:color w:val="000000"/>
                <w:lang w:eastAsia="hr-HR"/>
              </w:rPr>
              <w:t>Na površine na kojima planira sadnju ima ugovore o zakupu na 25 godina</w:t>
            </w:r>
            <w:r w:rsidR="00613A21">
              <w:rPr>
                <w:color w:val="000000"/>
                <w:lang w:eastAsia="hr-HR"/>
              </w:rPr>
              <w:t>,</w:t>
            </w:r>
            <w:r>
              <w:rPr>
                <w:color w:val="000000"/>
                <w:lang w:eastAsia="hr-HR"/>
              </w:rPr>
              <w:t xml:space="preserve"> međutim zemljište na kojem planira krčenje (budući da planira premještanje </w:t>
            </w:r>
            <w:r>
              <w:rPr>
                <w:color w:val="000000"/>
                <w:lang w:eastAsia="hr-HR"/>
              </w:rPr>
              <w:lastRenderedPageBreak/>
              <w:t>vinograda) ima u zakupu na još 5 godina od današnjeg dana.</w:t>
            </w:r>
          </w:p>
          <w:p w:rsidR="00B51085" w:rsidRPr="00613A21" w:rsidRDefault="00B51085" w:rsidP="00613A21">
            <w:pPr>
              <w:jc w:val="both"/>
              <w:rPr>
                <w:color w:val="000000"/>
                <w:lang w:eastAsia="hr-HR"/>
              </w:rPr>
            </w:pPr>
            <w:r>
              <w:rPr>
                <w:color w:val="000000"/>
                <w:lang w:eastAsia="hr-HR"/>
              </w:rPr>
              <w:t>S obzirom da se radi o lokaciji na kojoj će se vinograd samo krčiti, je li nužno potrebno da i lokacija na kojoj se obavlja krčenje, ima ugovore o zakupu na period od 5 godina od dana donošenja potvrde o završenoj intervenciji, ili je dovoljno da navedenim površinama raspolaže u trenutku podnošenja Zahtjeva za potporu, odnosno krčenja parcele?</w:t>
            </w:r>
          </w:p>
        </w:tc>
        <w:tc>
          <w:tcPr>
            <w:tcW w:w="7999" w:type="dxa"/>
          </w:tcPr>
          <w:p w:rsidR="00613A21" w:rsidRDefault="00613A21" w:rsidP="00613A21">
            <w:pPr>
              <w:jc w:val="both"/>
            </w:pPr>
            <w:r>
              <w:lastRenderedPageBreak/>
              <w:t>Članak 15. stavak 5. Pravilnika o provedbi intervencija iz sektora vina unutar Strateškog plana zajedničke poljoprivredne politike Republike Hrvatske 2023. – 2027., („Narodne novine“, br. 140/23, 152/23, 69/24, 5/25) propisuje da je podnositelj dužan dokazati da u vrijeme podnošenja zahtjeva za potporu raspolaže površinama na kojima se planira provođenje intervencije 58.1.a.01. Restrukturiranje i konverzija vinograda, a dužan je osigurati raspolaganje površinama tijekom pet godina nakon donošenja potvrde o završenoj intervenciji.</w:t>
            </w:r>
          </w:p>
          <w:p w:rsidR="00613A21" w:rsidRDefault="00613A21" w:rsidP="00613A21">
            <w:pPr>
              <w:jc w:val="both"/>
            </w:pPr>
          </w:p>
          <w:p w:rsidR="00613A21" w:rsidRDefault="00613A21" w:rsidP="00613A21">
            <w:pPr>
              <w:jc w:val="both"/>
            </w:pPr>
            <w:r>
              <w:t>S obzirom na to da se radi o aktivnosti premještanja vinograda, u fazi podnošenja zahtjeva za potporu podnositelj mora raspolagati površinama na kojima planira provođenje intervencije 58.1.a.01. Restrukturiranje i konverzija vinograda (i površine koju krči i površine na koju premješta/sadi vinograd). U fazi podnošenja zahtjeva za isplatu te tijekom pet godina nakon donošenja potvrde o završenoj intervenciji mora osigurati raspolaganje površinama na kojoj se ulaganje dogodilo (površina na koju premješta odnosno sadi vinograd).</w:t>
            </w:r>
          </w:p>
          <w:p w:rsidR="00B51085" w:rsidRPr="006175E1" w:rsidRDefault="00B51085" w:rsidP="006175E1">
            <w:pPr>
              <w:jc w:val="both"/>
              <w:rPr>
                <w:rFonts w:cstheme="minorHAnsi"/>
                <w:iCs/>
              </w:rPr>
            </w:pPr>
          </w:p>
        </w:tc>
      </w:tr>
      <w:tr w:rsidR="00541E3B" w:rsidRPr="007E5A92" w:rsidTr="00A65015">
        <w:tc>
          <w:tcPr>
            <w:tcW w:w="704" w:type="dxa"/>
          </w:tcPr>
          <w:p w:rsidR="00541E3B" w:rsidRDefault="00541E3B">
            <w:pPr>
              <w:rPr>
                <w:rFonts w:cstheme="minorHAnsi"/>
              </w:rPr>
            </w:pPr>
            <w:r>
              <w:rPr>
                <w:rFonts w:cstheme="minorHAnsi"/>
              </w:rPr>
              <w:t>17.</w:t>
            </w:r>
          </w:p>
        </w:tc>
        <w:tc>
          <w:tcPr>
            <w:tcW w:w="5245" w:type="dxa"/>
          </w:tcPr>
          <w:p w:rsidR="00541E3B" w:rsidRDefault="00541E3B" w:rsidP="00541E3B">
            <w:pPr>
              <w:pStyle w:val="NormalWeb"/>
            </w:pPr>
            <w:r>
              <w:t>Na koji način pristupiti ispunjavanju tablice 4.3</w:t>
            </w:r>
            <w:r>
              <w:t xml:space="preserve"> analiza postojećeg tržišta prodaje</w:t>
            </w:r>
            <w:r>
              <w:t>? </w:t>
            </w:r>
            <w:r>
              <w:t>T</w:t>
            </w:r>
            <w:r>
              <w:t>rebamo li u tablici navesti sve ARKOD parcele koje Podnositelj ima?</w:t>
            </w:r>
            <w:r>
              <w:t xml:space="preserve"> </w:t>
            </w:r>
            <w:r>
              <w:t>Na koji način povezati pojedinog kupca s određenom ARKOD parcelom?</w:t>
            </w:r>
          </w:p>
          <w:p w:rsidR="00541E3B" w:rsidRDefault="00541E3B" w:rsidP="00541E3B">
            <w:pPr>
              <w:pStyle w:val="NormalWeb"/>
            </w:pPr>
          </w:p>
          <w:p w:rsidR="00541E3B" w:rsidRDefault="00541E3B" w:rsidP="00B51085"/>
        </w:tc>
        <w:tc>
          <w:tcPr>
            <w:tcW w:w="7999" w:type="dxa"/>
          </w:tcPr>
          <w:p w:rsidR="00541E3B" w:rsidRDefault="00541E3B" w:rsidP="00541E3B">
            <w:pPr>
              <w:jc w:val="both"/>
              <w:rPr>
                <w:color w:val="231F20"/>
                <w:shd w:val="clear" w:color="auto" w:fill="FFFFFF"/>
              </w:rPr>
            </w:pPr>
            <w:r>
              <w:rPr>
                <w:color w:val="231F20"/>
                <w:shd w:val="clear" w:color="auto" w:fill="FFFFFF"/>
              </w:rPr>
              <w:t>Članak 7. stavak 4. Pravilnika o vinarstvu („Narodne novine“, br. 81/22, 75/23, 81/23 i 82/2024) navodi da iznimno od stavka 2. istoga članka od obveze podnošenja Izjave o berbi obveznici su izuzeti u slučaju kad cjelokupan urod grožđa isporučuju kao grožđe ili mošt vinariji ili zadruzi, uz uvjet da te zadružne vinarije ili skupine moraju podnijeti Izjavu o proizvodnji te kad sami prerađuju cjelokupan urod grožđa u vino, odnosno kad cjelokupan urod grožđa daju preraditi u svoje ime uz uvjet da proizvedu manje od 10 hektolitara (1000 litara) za potrebe svoje obitelji.</w:t>
            </w:r>
          </w:p>
          <w:p w:rsidR="00541E3B" w:rsidRDefault="00541E3B" w:rsidP="00541E3B">
            <w:pPr>
              <w:jc w:val="both"/>
            </w:pPr>
          </w:p>
          <w:p w:rsidR="00541E3B" w:rsidRDefault="00541E3B" w:rsidP="00541E3B">
            <w:pPr>
              <w:jc w:val="both"/>
            </w:pPr>
            <w:r>
              <w:t>Nastavno na navedeno, tablicu je potrebno ispuniti samo u slučaju ako vinogradar prodaje grožđe te nije podnio Izjavu o berbi (u tom slučaju količina prodanog grožđa navodi se u izjavi o proizvodnji kupca grožđa</w:t>
            </w:r>
            <w:r>
              <w:t>)</w:t>
            </w:r>
            <w:r>
              <w:t>.</w:t>
            </w:r>
          </w:p>
          <w:p w:rsidR="00541E3B" w:rsidRDefault="00541E3B" w:rsidP="00541E3B">
            <w:pPr>
              <w:jc w:val="both"/>
            </w:pPr>
          </w:p>
          <w:p w:rsidR="00541E3B" w:rsidRDefault="00541E3B" w:rsidP="00541E3B">
            <w:pPr>
              <w:jc w:val="both"/>
              <w:rPr>
                <w:i/>
                <w:iCs/>
              </w:rPr>
            </w:pPr>
            <w:r>
              <w:t>Također, ispod tablice navedena je napomena:“</w:t>
            </w:r>
            <w:r>
              <w:rPr>
                <w:i/>
                <w:iCs/>
              </w:rPr>
              <w:t xml:space="preserve"> Tablicu je potrebno ispuniti u slučaju da je površina na kojoj se planira provedba intervencije 58.1.a.01. Restrukturiranje i konverzija vinograd u kojem se proizvodi grožđe za proizvodnju vina, a Izjava o proizvodnji u vegetacijskoj godini koja je prethodila podnošenju zahtjeva za potporu navedena je Vinogradarskom registru u izjavama Kupca“.</w:t>
            </w:r>
          </w:p>
          <w:p w:rsidR="00541E3B" w:rsidRDefault="00541E3B" w:rsidP="00613A21">
            <w:pPr>
              <w:jc w:val="both"/>
            </w:pPr>
            <w:bookmarkStart w:id="0" w:name="_GoBack"/>
            <w:bookmarkEnd w:id="0"/>
          </w:p>
        </w:tc>
      </w:tr>
    </w:tbl>
    <w:p w:rsidR="00804444" w:rsidRPr="007E5A92" w:rsidRDefault="00804444">
      <w:pPr>
        <w:rPr>
          <w:rFonts w:cstheme="minorHAnsi"/>
        </w:rPr>
      </w:pPr>
    </w:p>
    <w:sectPr w:rsidR="00804444" w:rsidRPr="007E5A92" w:rsidSect="005E0810">
      <w:headerReference w:type="default" r:id="rId7"/>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2913" w:rsidRDefault="00432913" w:rsidP="005E0810">
      <w:pPr>
        <w:spacing w:after="0" w:line="240" w:lineRule="auto"/>
      </w:pPr>
      <w:r>
        <w:separator/>
      </w:r>
    </w:p>
  </w:endnote>
  <w:endnote w:type="continuationSeparator" w:id="0">
    <w:p w:rsidR="00432913" w:rsidRDefault="00432913" w:rsidP="005E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ptos">
    <w:altName w:val="Calibri"/>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2913" w:rsidRDefault="00432913" w:rsidP="005E0810">
      <w:pPr>
        <w:spacing w:after="0" w:line="240" w:lineRule="auto"/>
      </w:pPr>
      <w:r>
        <w:separator/>
      </w:r>
    </w:p>
  </w:footnote>
  <w:footnote w:type="continuationSeparator" w:id="0">
    <w:p w:rsidR="00432913" w:rsidRDefault="00432913" w:rsidP="005E0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0810" w:rsidRPr="00BD157A" w:rsidRDefault="005E0810">
    <w:pPr>
      <w:pStyle w:val="Header"/>
      <w:rPr>
        <w:rFonts w:cstheme="minorHAnsi"/>
        <w:sz w:val="24"/>
        <w:szCs w:val="24"/>
      </w:rPr>
    </w:pPr>
    <w:r w:rsidRPr="00BD157A">
      <w:rPr>
        <w:rFonts w:cstheme="minorHAnsi"/>
        <w:sz w:val="24"/>
        <w:szCs w:val="24"/>
      </w:rPr>
      <w:t>PITANJA I ODGOVORI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4509CF"/>
    <w:multiLevelType w:val="hybridMultilevel"/>
    <w:tmpl w:val="A9A4902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 w15:restartNumberingAfterBreak="0">
    <w:nsid w:val="2B021A80"/>
    <w:multiLevelType w:val="multilevel"/>
    <w:tmpl w:val="A7DC23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0810"/>
    <w:rsid w:val="00001CB8"/>
    <w:rsid w:val="00004B27"/>
    <w:rsid w:val="0002068E"/>
    <w:rsid w:val="0006345A"/>
    <w:rsid w:val="00076F10"/>
    <w:rsid w:val="000A42F7"/>
    <w:rsid w:val="000F1DFE"/>
    <w:rsid w:val="001810F0"/>
    <w:rsid w:val="00195F85"/>
    <w:rsid w:val="001D2D66"/>
    <w:rsid w:val="00205DEB"/>
    <w:rsid w:val="002B4161"/>
    <w:rsid w:val="002C6A9A"/>
    <w:rsid w:val="00312666"/>
    <w:rsid w:val="00347724"/>
    <w:rsid w:val="00361EF4"/>
    <w:rsid w:val="00363B45"/>
    <w:rsid w:val="00375774"/>
    <w:rsid w:val="00392FC1"/>
    <w:rsid w:val="003B6476"/>
    <w:rsid w:val="003D2730"/>
    <w:rsid w:val="003D7FAD"/>
    <w:rsid w:val="00432913"/>
    <w:rsid w:val="00453EDC"/>
    <w:rsid w:val="0046554E"/>
    <w:rsid w:val="0049331A"/>
    <w:rsid w:val="004F5588"/>
    <w:rsid w:val="00541E3B"/>
    <w:rsid w:val="00562698"/>
    <w:rsid w:val="005C7B2C"/>
    <w:rsid w:val="005E0810"/>
    <w:rsid w:val="00613301"/>
    <w:rsid w:val="00613A21"/>
    <w:rsid w:val="006175E1"/>
    <w:rsid w:val="00646756"/>
    <w:rsid w:val="00653698"/>
    <w:rsid w:val="00680004"/>
    <w:rsid w:val="006D4E7E"/>
    <w:rsid w:val="00753CC7"/>
    <w:rsid w:val="00774BC3"/>
    <w:rsid w:val="00782133"/>
    <w:rsid w:val="007B17CB"/>
    <w:rsid w:val="007E5A92"/>
    <w:rsid w:val="00804444"/>
    <w:rsid w:val="00831D26"/>
    <w:rsid w:val="0083326C"/>
    <w:rsid w:val="008A1EFF"/>
    <w:rsid w:val="008C77BE"/>
    <w:rsid w:val="009732B6"/>
    <w:rsid w:val="009A4E75"/>
    <w:rsid w:val="009F1293"/>
    <w:rsid w:val="009F4407"/>
    <w:rsid w:val="00A1134E"/>
    <w:rsid w:val="00A60EF7"/>
    <w:rsid w:val="00A65015"/>
    <w:rsid w:val="00AB3E5B"/>
    <w:rsid w:val="00AE39E4"/>
    <w:rsid w:val="00AE57B2"/>
    <w:rsid w:val="00B51085"/>
    <w:rsid w:val="00B525D0"/>
    <w:rsid w:val="00B55621"/>
    <w:rsid w:val="00B72208"/>
    <w:rsid w:val="00B7679C"/>
    <w:rsid w:val="00BC0B1B"/>
    <w:rsid w:val="00BD157A"/>
    <w:rsid w:val="00C51441"/>
    <w:rsid w:val="00C81E3F"/>
    <w:rsid w:val="00CD6BBF"/>
    <w:rsid w:val="00D34011"/>
    <w:rsid w:val="00D41680"/>
    <w:rsid w:val="00D537BA"/>
    <w:rsid w:val="00E122CA"/>
    <w:rsid w:val="00E31884"/>
    <w:rsid w:val="00E92280"/>
    <w:rsid w:val="00F620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81F21"/>
  <w15:chartTrackingRefBased/>
  <w15:docId w15:val="{F4FEA711-233F-4C01-B3FB-FC96EFDA9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E08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0810"/>
  </w:style>
  <w:style w:type="paragraph" w:styleId="Footer">
    <w:name w:val="footer"/>
    <w:basedOn w:val="Normal"/>
    <w:link w:val="FooterChar"/>
    <w:uiPriority w:val="99"/>
    <w:unhideWhenUsed/>
    <w:rsid w:val="005E08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0810"/>
  </w:style>
  <w:style w:type="table" w:styleId="TableGrid">
    <w:name w:val="Table Grid"/>
    <w:basedOn w:val="TableNormal"/>
    <w:uiPriority w:val="39"/>
    <w:rsid w:val="005E0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015"/>
    <w:pPr>
      <w:ind w:left="720"/>
      <w:contextualSpacing/>
    </w:pPr>
  </w:style>
  <w:style w:type="paragraph" w:styleId="NormalWeb">
    <w:name w:val="Normal (Web)"/>
    <w:basedOn w:val="Normal"/>
    <w:uiPriority w:val="99"/>
    <w:semiHidden/>
    <w:unhideWhenUsed/>
    <w:rsid w:val="006175E1"/>
    <w:pPr>
      <w:spacing w:before="100" w:beforeAutospacing="1" w:after="100" w:afterAutospacing="1" w:line="240" w:lineRule="auto"/>
    </w:pPr>
    <w:rPr>
      <w:rFonts w:ascii="Calibri" w:hAnsi="Calibri" w:cs="Calibri"/>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00506">
      <w:bodyDiv w:val="1"/>
      <w:marLeft w:val="0"/>
      <w:marRight w:val="0"/>
      <w:marTop w:val="0"/>
      <w:marBottom w:val="0"/>
      <w:divBdr>
        <w:top w:val="none" w:sz="0" w:space="0" w:color="auto"/>
        <w:left w:val="none" w:sz="0" w:space="0" w:color="auto"/>
        <w:bottom w:val="none" w:sz="0" w:space="0" w:color="auto"/>
        <w:right w:val="none" w:sz="0" w:space="0" w:color="auto"/>
      </w:divBdr>
    </w:div>
    <w:div w:id="87233506">
      <w:bodyDiv w:val="1"/>
      <w:marLeft w:val="0"/>
      <w:marRight w:val="0"/>
      <w:marTop w:val="0"/>
      <w:marBottom w:val="0"/>
      <w:divBdr>
        <w:top w:val="none" w:sz="0" w:space="0" w:color="auto"/>
        <w:left w:val="none" w:sz="0" w:space="0" w:color="auto"/>
        <w:bottom w:val="none" w:sz="0" w:space="0" w:color="auto"/>
        <w:right w:val="none" w:sz="0" w:space="0" w:color="auto"/>
      </w:divBdr>
    </w:div>
    <w:div w:id="143816271">
      <w:bodyDiv w:val="1"/>
      <w:marLeft w:val="0"/>
      <w:marRight w:val="0"/>
      <w:marTop w:val="0"/>
      <w:marBottom w:val="0"/>
      <w:divBdr>
        <w:top w:val="none" w:sz="0" w:space="0" w:color="auto"/>
        <w:left w:val="none" w:sz="0" w:space="0" w:color="auto"/>
        <w:bottom w:val="none" w:sz="0" w:space="0" w:color="auto"/>
        <w:right w:val="none" w:sz="0" w:space="0" w:color="auto"/>
      </w:divBdr>
    </w:div>
    <w:div w:id="217322408">
      <w:bodyDiv w:val="1"/>
      <w:marLeft w:val="0"/>
      <w:marRight w:val="0"/>
      <w:marTop w:val="0"/>
      <w:marBottom w:val="0"/>
      <w:divBdr>
        <w:top w:val="none" w:sz="0" w:space="0" w:color="auto"/>
        <w:left w:val="none" w:sz="0" w:space="0" w:color="auto"/>
        <w:bottom w:val="none" w:sz="0" w:space="0" w:color="auto"/>
        <w:right w:val="none" w:sz="0" w:space="0" w:color="auto"/>
      </w:divBdr>
    </w:div>
    <w:div w:id="268005181">
      <w:bodyDiv w:val="1"/>
      <w:marLeft w:val="0"/>
      <w:marRight w:val="0"/>
      <w:marTop w:val="0"/>
      <w:marBottom w:val="0"/>
      <w:divBdr>
        <w:top w:val="none" w:sz="0" w:space="0" w:color="auto"/>
        <w:left w:val="none" w:sz="0" w:space="0" w:color="auto"/>
        <w:bottom w:val="none" w:sz="0" w:space="0" w:color="auto"/>
        <w:right w:val="none" w:sz="0" w:space="0" w:color="auto"/>
      </w:divBdr>
    </w:div>
    <w:div w:id="279458123">
      <w:bodyDiv w:val="1"/>
      <w:marLeft w:val="0"/>
      <w:marRight w:val="0"/>
      <w:marTop w:val="0"/>
      <w:marBottom w:val="0"/>
      <w:divBdr>
        <w:top w:val="none" w:sz="0" w:space="0" w:color="auto"/>
        <w:left w:val="none" w:sz="0" w:space="0" w:color="auto"/>
        <w:bottom w:val="none" w:sz="0" w:space="0" w:color="auto"/>
        <w:right w:val="none" w:sz="0" w:space="0" w:color="auto"/>
      </w:divBdr>
    </w:div>
    <w:div w:id="321736235">
      <w:bodyDiv w:val="1"/>
      <w:marLeft w:val="0"/>
      <w:marRight w:val="0"/>
      <w:marTop w:val="0"/>
      <w:marBottom w:val="0"/>
      <w:divBdr>
        <w:top w:val="none" w:sz="0" w:space="0" w:color="auto"/>
        <w:left w:val="none" w:sz="0" w:space="0" w:color="auto"/>
        <w:bottom w:val="none" w:sz="0" w:space="0" w:color="auto"/>
        <w:right w:val="none" w:sz="0" w:space="0" w:color="auto"/>
      </w:divBdr>
    </w:div>
    <w:div w:id="332756047">
      <w:bodyDiv w:val="1"/>
      <w:marLeft w:val="0"/>
      <w:marRight w:val="0"/>
      <w:marTop w:val="0"/>
      <w:marBottom w:val="0"/>
      <w:divBdr>
        <w:top w:val="none" w:sz="0" w:space="0" w:color="auto"/>
        <w:left w:val="none" w:sz="0" w:space="0" w:color="auto"/>
        <w:bottom w:val="none" w:sz="0" w:space="0" w:color="auto"/>
        <w:right w:val="none" w:sz="0" w:space="0" w:color="auto"/>
      </w:divBdr>
    </w:div>
    <w:div w:id="402485415">
      <w:bodyDiv w:val="1"/>
      <w:marLeft w:val="0"/>
      <w:marRight w:val="0"/>
      <w:marTop w:val="0"/>
      <w:marBottom w:val="0"/>
      <w:divBdr>
        <w:top w:val="none" w:sz="0" w:space="0" w:color="auto"/>
        <w:left w:val="none" w:sz="0" w:space="0" w:color="auto"/>
        <w:bottom w:val="none" w:sz="0" w:space="0" w:color="auto"/>
        <w:right w:val="none" w:sz="0" w:space="0" w:color="auto"/>
      </w:divBdr>
    </w:div>
    <w:div w:id="433020426">
      <w:bodyDiv w:val="1"/>
      <w:marLeft w:val="0"/>
      <w:marRight w:val="0"/>
      <w:marTop w:val="0"/>
      <w:marBottom w:val="0"/>
      <w:divBdr>
        <w:top w:val="none" w:sz="0" w:space="0" w:color="auto"/>
        <w:left w:val="none" w:sz="0" w:space="0" w:color="auto"/>
        <w:bottom w:val="none" w:sz="0" w:space="0" w:color="auto"/>
        <w:right w:val="none" w:sz="0" w:space="0" w:color="auto"/>
      </w:divBdr>
    </w:div>
    <w:div w:id="450124481">
      <w:bodyDiv w:val="1"/>
      <w:marLeft w:val="0"/>
      <w:marRight w:val="0"/>
      <w:marTop w:val="0"/>
      <w:marBottom w:val="0"/>
      <w:divBdr>
        <w:top w:val="none" w:sz="0" w:space="0" w:color="auto"/>
        <w:left w:val="none" w:sz="0" w:space="0" w:color="auto"/>
        <w:bottom w:val="none" w:sz="0" w:space="0" w:color="auto"/>
        <w:right w:val="none" w:sz="0" w:space="0" w:color="auto"/>
      </w:divBdr>
    </w:div>
    <w:div w:id="497162448">
      <w:bodyDiv w:val="1"/>
      <w:marLeft w:val="0"/>
      <w:marRight w:val="0"/>
      <w:marTop w:val="0"/>
      <w:marBottom w:val="0"/>
      <w:divBdr>
        <w:top w:val="none" w:sz="0" w:space="0" w:color="auto"/>
        <w:left w:val="none" w:sz="0" w:space="0" w:color="auto"/>
        <w:bottom w:val="none" w:sz="0" w:space="0" w:color="auto"/>
        <w:right w:val="none" w:sz="0" w:space="0" w:color="auto"/>
      </w:divBdr>
    </w:div>
    <w:div w:id="579172842">
      <w:bodyDiv w:val="1"/>
      <w:marLeft w:val="0"/>
      <w:marRight w:val="0"/>
      <w:marTop w:val="0"/>
      <w:marBottom w:val="0"/>
      <w:divBdr>
        <w:top w:val="none" w:sz="0" w:space="0" w:color="auto"/>
        <w:left w:val="none" w:sz="0" w:space="0" w:color="auto"/>
        <w:bottom w:val="none" w:sz="0" w:space="0" w:color="auto"/>
        <w:right w:val="none" w:sz="0" w:space="0" w:color="auto"/>
      </w:divBdr>
    </w:div>
    <w:div w:id="627902655">
      <w:bodyDiv w:val="1"/>
      <w:marLeft w:val="0"/>
      <w:marRight w:val="0"/>
      <w:marTop w:val="0"/>
      <w:marBottom w:val="0"/>
      <w:divBdr>
        <w:top w:val="none" w:sz="0" w:space="0" w:color="auto"/>
        <w:left w:val="none" w:sz="0" w:space="0" w:color="auto"/>
        <w:bottom w:val="none" w:sz="0" w:space="0" w:color="auto"/>
        <w:right w:val="none" w:sz="0" w:space="0" w:color="auto"/>
      </w:divBdr>
    </w:div>
    <w:div w:id="766461785">
      <w:bodyDiv w:val="1"/>
      <w:marLeft w:val="0"/>
      <w:marRight w:val="0"/>
      <w:marTop w:val="0"/>
      <w:marBottom w:val="0"/>
      <w:divBdr>
        <w:top w:val="none" w:sz="0" w:space="0" w:color="auto"/>
        <w:left w:val="none" w:sz="0" w:space="0" w:color="auto"/>
        <w:bottom w:val="none" w:sz="0" w:space="0" w:color="auto"/>
        <w:right w:val="none" w:sz="0" w:space="0" w:color="auto"/>
      </w:divBdr>
    </w:div>
    <w:div w:id="909312958">
      <w:bodyDiv w:val="1"/>
      <w:marLeft w:val="0"/>
      <w:marRight w:val="0"/>
      <w:marTop w:val="0"/>
      <w:marBottom w:val="0"/>
      <w:divBdr>
        <w:top w:val="none" w:sz="0" w:space="0" w:color="auto"/>
        <w:left w:val="none" w:sz="0" w:space="0" w:color="auto"/>
        <w:bottom w:val="none" w:sz="0" w:space="0" w:color="auto"/>
        <w:right w:val="none" w:sz="0" w:space="0" w:color="auto"/>
      </w:divBdr>
    </w:div>
    <w:div w:id="916062223">
      <w:bodyDiv w:val="1"/>
      <w:marLeft w:val="0"/>
      <w:marRight w:val="0"/>
      <w:marTop w:val="0"/>
      <w:marBottom w:val="0"/>
      <w:divBdr>
        <w:top w:val="none" w:sz="0" w:space="0" w:color="auto"/>
        <w:left w:val="none" w:sz="0" w:space="0" w:color="auto"/>
        <w:bottom w:val="none" w:sz="0" w:space="0" w:color="auto"/>
        <w:right w:val="none" w:sz="0" w:space="0" w:color="auto"/>
      </w:divBdr>
    </w:div>
    <w:div w:id="917061667">
      <w:bodyDiv w:val="1"/>
      <w:marLeft w:val="0"/>
      <w:marRight w:val="0"/>
      <w:marTop w:val="0"/>
      <w:marBottom w:val="0"/>
      <w:divBdr>
        <w:top w:val="none" w:sz="0" w:space="0" w:color="auto"/>
        <w:left w:val="none" w:sz="0" w:space="0" w:color="auto"/>
        <w:bottom w:val="none" w:sz="0" w:space="0" w:color="auto"/>
        <w:right w:val="none" w:sz="0" w:space="0" w:color="auto"/>
      </w:divBdr>
    </w:div>
    <w:div w:id="1034497069">
      <w:bodyDiv w:val="1"/>
      <w:marLeft w:val="0"/>
      <w:marRight w:val="0"/>
      <w:marTop w:val="0"/>
      <w:marBottom w:val="0"/>
      <w:divBdr>
        <w:top w:val="none" w:sz="0" w:space="0" w:color="auto"/>
        <w:left w:val="none" w:sz="0" w:space="0" w:color="auto"/>
        <w:bottom w:val="none" w:sz="0" w:space="0" w:color="auto"/>
        <w:right w:val="none" w:sz="0" w:space="0" w:color="auto"/>
      </w:divBdr>
    </w:div>
    <w:div w:id="1045527439">
      <w:bodyDiv w:val="1"/>
      <w:marLeft w:val="0"/>
      <w:marRight w:val="0"/>
      <w:marTop w:val="0"/>
      <w:marBottom w:val="0"/>
      <w:divBdr>
        <w:top w:val="none" w:sz="0" w:space="0" w:color="auto"/>
        <w:left w:val="none" w:sz="0" w:space="0" w:color="auto"/>
        <w:bottom w:val="none" w:sz="0" w:space="0" w:color="auto"/>
        <w:right w:val="none" w:sz="0" w:space="0" w:color="auto"/>
      </w:divBdr>
    </w:div>
    <w:div w:id="1110667361">
      <w:bodyDiv w:val="1"/>
      <w:marLeft w:val="0"/>
      <w:marRight w:val="0"/>
      <w:marTop w:val="0"/>
      <w:marBottom w:val="0"/>
      <w:divBdr>
        <w:top w:val="none" w:sz="0" w:space="0" w:color="auto"/>
        <w:left w:val="none" w:sz="0" w:space="0" w:color="auto"/>
        <w:bottom w:val="none" w:sz="0" w:space="0" w:color="auto"/>
        <w:right w:val="none" w:sz="0" w:space="0" w:color="auto"/>
      </w:divBdr>
    </w:div>
    <w:div w:id="1137800009">
      <w:bodyDiv w:val="1"/>
      <w:marLeft w:val="0"/>
      <w:marRight w:val="0"/>
      <w:marTop w:val="0"/>
      <w:marBottom w:val="0"/>
      <w:divBdr>
        <w:top w:val="none" w:sz="0" w:space="0" w:color="auto"/>
        <w:left w:val="none" w:sz="0" w:space="0" w:color="auto"/>
        <w:bottom w:val="none" w:sz="0" w:space="0" w:color="auto"/>
        <w:right w:val="none" w:sz="0" w:space="0" w:color="auto"/>
      </w:divBdr>
    </w:div>
    <w:div w:id="1242565272">
      <w:bodyDiv w:val="1"/>
      <w:marLeft w:val="0"/>
      <w:marRight w:val="0"/>
      <w:marTop w:val="0"/>
      <w:marBottom w:val="0"/>
      <w:divBdr>
        <w:top w:val="none" w:sz="0" w:space="0" w:color="auto"/>
        <w:left w:val="none" w:sz="0" w:space="0" w:color="auto"/>
        <w:bottom w:val="none" w:sz="0" w:space="0" w:color="auto"/>
        <w:right w:val="none" w:sz="0" w:space="0" w:color="auto"/>
      </w:divBdr>
    </w:div>
    <w:div w:id="1247105140">
      <w:bodyDiv w:val="1"/>
      <w:marLeft w:val="0"/>
      <w:marRight w:val="0"/>
      <w:marTop w:val="0"/>
      <w:marBottom w:val="0"/>
      <w:divBdr>
        <w:top w:val="none" w:sz="0" w:space="0" w:color="auto"/>
        <w:left w:val="none" w:sz="0" w:space="0" w:color="auto"/>
        <w:bottom w:val="none" w:sz="0" w:space="0" w:color="auto"/>
        <w:right w:val="none" w:sz="0" w:space="0" w:color="auto"/>
      </w:divBdr>
    </w:div>
    <w:div w:id="1252617772">
      <w:bodyDiv w:val="1"/>
      <w:marLeft w:val="0"/>
      <w:marRight w:val="0"/>
      <w:marTop w:val="0"/>
      <w:marBottom w:val="0"/>
      <w:divBdr>
        <w:top w:val="none" w:sz="0" w:space="0" w:color="auto"/>
        <w:left w:val="none" w:sz="0" w:space="0" w:color="auto"/>
        <w:bottom w:val="none" w:sz="0" w:space="0" w:color="auto"/>
        <w:right w:val="none" w:sz="0" w:space="0" w:color="auto"/>
      </w:divBdr>
    </w:div>
    <w:div w:id="1356926680">
      <w:bodyDiv w:val="1"/>
      <w:marLeft w:val="0"/>
      <w:marRight w:val="0"/>
      <w:marTop w:val="0"/>
      <w:marBottom w:val="0"/>
      <w:divBdr>
        <w:top w:val="none" w:sz="0" w:space="0" w:color="auto"/>
        <w:left w:val="none" w:sz="0" w:space="0" w:color="auto"/>
        <w:bottom w:val="none" w:sz="0" w:space="0" w:color="auto"/>
        <w:right w:val="none" w:sz="0" w:space="0" w:color="auto"/>
      </w:divBdr>
    </w:div>
    <w:div w:id="1376658096">
      <w:bodyDiv w:val="1"/>
      <w:marLeft w:val="0"/>
      <w:marRight w:val="0"/>
      <w:marTop w:val="0"/>
      <w:marBottom w:val="0"/>
      <w:divBdr>
        <w:top w:val="none" w:sz="0" w:space="0" w:color="auto"/>
        <w:left w:val="none" w:sz="0" w:space="0" w:color="auto"/>
        <w:bottom w:val="none" w:sz="0" w:space="0" w:color="auto"/>
        <w:right w:val="none" w:sz="0" w:space="0" w:color="auto"/>
      </w:divBdr>
    </w:div>
    <w:div w:id="1405450344">
      <w:bodyDiv w:val="1"/>
      <w:marLeft w:val="0"/>
      <w:marRight w:val="0"/>
      <w:marTop w:val="0"/>
      <w:marBottom w:val="0"/>
      <w:divBdr>
        <w:top w:val="none" w:sz="0" w:space="0" w:color="auto"/>
        <w:left w:val="none" w:sz="0" w:space="0" w:color="auto"/>
        <w:bottom w:val="none" w:sz="0" w:space="0" w:color="auto"/>
        <w:right w:val="none" w:sz="0" w:space="0" w:color="auto"/>
      </w:divBdr>
    </w:div>
    <w:div w:id="1520972895">
      <w:bodyDiv w:val="1"/>
      <w:marLeft w:val="0"/>
      <w:marRight w:val="0"/>
      <w:marTop w:val="0"/>
      <w:marBottom w:val="0"/>
      <w:divBdr>
        <w:top w:val="none" w:sz="0" w:space="0" w:color="auto"/>
        <w:left w:val="none" w:sz="0" w:space="0" w:color="auto"/>
        <w:bottom w:val="none" w:sz="0" w:space="0" w:color="auto"/>
        <w:right w:val="none" w:sz="0" w:space="0" w:color="auto"/>
      </w:divBdr>
    </w:div>
    <w:div w:id="1543011903">
      <w:bodyDiv w:val="1"/>
      <w:marLeft w:val="0"/>
      <w:marRight w:val="0"/>
      <w:marTop w:val="0"/>
      <w:marBottom w:val="0"/>
      <w:divBdr>
        <w:top w:val="none" w:sz="0" w:space="0" w:color="auto"/>
        <w:left w:val="none" w:sz="0" w:space="0" w:color="auto"/>
        <w:bottom w:val="none" w:sz="0" w:space="0" w:color="auto"/>
        <w:right w:val="none" w:sz="0" w:space="0" w:color="auto"/>
      </w:divBdr>
    </w:div>
    <w:div w:id="1601795642">
      <w:bodyDiv w:val="1"/>
      <w:marLeft w:val="0"/>
      <w:marRight w:val="0"/>
      <w:marTop w:val="0"/>
      <w:marBottom w:val="0"/>
      <w:divBdr>
        <w:top w:val="none" w:sz="0" w:space="0" w:color="auto"/>
        <w:left w:val="none" w:sz="0" w:space="0" w:color="auto"/>
        <w:bottom w:val="none" w:sz="0" w:space="0" w:color="auto"/>
        <w:right w:val="none" w:sz="0" w:space="0" w:color="auto"/>
      </w:divBdr>
    </w:div>
    <w:div w:id="1629120174">
      <w:bodyDiv w:val="1"/>
      <w:marLeft w:val="0"/>
      <w:marRight w:val="0"/>
      <w:marTop w:val="0"/>
      <w:marBottom w:val="0"/>
      <w:divBdr>
        <w:top w:val="none" w:sz="0" w:space="0" w:color="auto"/>
        <w:left w:val="none" w:sz="0" w:space="0" w:color="auto"/>
        <w:bottom w:val="none" w:sz="0" w:space="0" w:color="auto"/>
        <w:right w:val="none" w:sz="0" w:space="0" w:color="auto"/>
      </w:divBdr>
    </w:div>
    <w:div w:id="1701468761">
      <w:bodyDiv w:val="1"/>
      <w:marLeft w:val="0"/>
      <w:marRight w:val="0"/>
      <w:marTop w:val="0"/>
      <w:marBottom w:val="0"/>
      <w:divBdr>
        <w:top w:val="none" w:sz="0" w:space="0" w:color="auto"/>
        <w:left w:val="none" w:sz="0" w:space="0" w:color="auto"/>
        <w:bottom w:val="none" w:sz="0" w:space="0" w:color="auto"/>
        <w:right w:val="none" w:sz="0" w:space="0" w:color="auto"/>
      </w:divBdr>
    </w:div>
    <w:div w:id="1737046721">
      <w:bodyDiv w:val="1"/>
      <w:marLeft w:val="0"/>
      <w:marRight w:val="0"/>
      <w:marTop w:val="0"/>
      <w:marBottom w:val="0"/>
      <w:divBdr>
        <w:top w:val="none" w:sz="0" w:space="0" w:color="auto"/>
        <w:left w:val="none" w:sz="0" w:space="0" w:color="auto"/>
        <w:bottom w:val="none" w:sz="0" w:space="0" w:color="auto"/>
        <w:right w:val="none" w:sz="0" w:space="0" w:color="auto"/>
      </w:divBdr>
    </w:div>
    <w:div w:id="1737556157">
      <w:bodyDiv w:val="1"/>
      <w:marLeft w:val="0"/>
      <w:marRight w:val="0"/>
      <w:marTop w:val="0"/>
      <w:marBottom w:val="0"/>
      <w:divBdr>
        <w:top w:val="none" w:sz="0" w:space="0" w:color="auto"/>
        <w:left w:val="none" w:sz="0" w:space="0" w:color="auto"/>
        <w:bottom w:val="none" w:sz="0" w:space="0" w:color="auto"/>
        <w:right w:val="none" w:sz="0" w:space="0" w:color="auto"/>
      </w:divBdr>
    </w:div>
    <w:div w:id="1839298620">
      <w:bodyDiv w:val="1"/>
      <w:marLeft w:val="0"/>
      <w:marRight w:val="0"/>
      <w:marTop w:val="0"/>
      <w:marBottom w:val="0"/>
      <w:divBdr>
        <w:top w:val="none" w:sz="0" w:space="0" w:color="auto"/>
        <w:left w:val="none" w:sz="0" w:space="0" w:color="auto"/>
        <w:bottom w:val="none" w:sz="0" w:space="0" w:color="auto"/>
        <w:right w:val="none" w:sz="0" w:space="0" w:color="auto"/>
      </w:divBdr>
    </w:div>
    <w:div w:id="1873224790">
      <w:bodyDiv w:val="1"/>
      <w:marLeft w:val="0"/>
      <w:marRight w:val="0"/>
      <w:marTop w:val="0"/>
      <w:marBottom w:val="0"/>
      <w:divBdr>
        <w:top w:val="none" w:sz="0" w:space="0" w:color="auto"/>
        <w:left w:val="none" w:sz="0" w:space="0" w:color="auto"/>
        <w:bottom w:val="none" w:sz="0" w:space="0" w:color="auto"/>
        <w:right w:val="none" w:sz="0" w:space="0" w:color="auto"/>
      </w:divBdr>
    </w:div>
    <w:div w:id="1904900436">
      <w:bodyDiv w:val="1"/>
      <w:marLeft w:val="0"/>
      <w:marRight w:val="0"/>
      <w:marTop w:val="0"/>
      <w:marBottom w:val="0"/>
      <w:divBdr>
        <w:top w:val="none" w:sz="0" w:space="0" w:color="auto"/>
        <w:left w:val="none" w:sz="0" w:space="0" w:color="auto"/>
        <w:bottom w:val="none" w:sz="0" w:space="0" w:color="auto"/>
        <w:right w:val="none" w:sz="0" w:space="0" w:color="auto"/>
      </w:divBdr>
    </w:div>
    <w:div w:id="1916433166">
      <w:bodyDiv w:val="1"/>
      <w:marLeft w:val="0"/>
      <w:marRight w:val="0"/>
      <w:marTop w:val="0"/>
      <w:marBottom w:val="0"/>
      <w:divBdr>
        <w:top w:val="none" w:sz="0" w:space="0" w:color="auto"/>
        <w:left w:val="none" w:sz="0" w:space="0" w:color="auto"/>
        <w:bottom w:val="none" w:sz="0" w:space="0" w:color="auto"/>
        <w:right w:val="none" w:sz="0" w:space="0" w:color="auto"/>
      </w:divBdr>
    </w:div>
    <w:div w:id="1963883794">
      <w:bodyDiv w:val="1"/>
      <w:marLeft w:val="0"/>
      <w:marRight w:val="0"/>
      <w:marTop w:val="0"/>
      <w:marBottom w:val="0"/>
      <w:divBdr>
        <w:top w:val="none" w:sz="0" w:space="0" w:color="auto"/>
        <w:left w:val="none" w:sz="0" w:space="0" w:color="auto"/>
        <w:bottom w:val="none" w:sz="0" w:space="0" w:color="auto"/>
        <w:right w:val="none" w:sz="0" w:space="0" w:color="auto"/>
      </w:divBdr>
    </w:div>
    <w:div w:id="1983806909">
      <w:bodyDiv w:val="1"/>
      <w:marLeft w:val="0"/>
      <w:marRight w:val="0"/>
      <w:marTop w:val="0"/>
      <w:marBottom w:val="0"/>
      <w:divBdr>
        <w:top w:val="none" w:sz="0" w:space="0" w:color="auto"/>
        <w:left w:val="none" w:sz="0" w:space="0" w:color="auto"/>
        <w:bottom w:val="none" w:sz="0" w:space="0" w:color="auto"/>
        <w:right w:val="none" w:sz="0" w:space="0" w:color="auto"/>
      </w:divBdr>
    </w:div>
    <w:div w:id="2072843560">
      <w:bodyDiv w:val="1"/>
      <w:marLeft w:val="0"/>
      <w:marRight w:val="0"/>
      <w:marTop w:val="0"/>
      <w:marBottom w:val="0"/>
      <w:divBdr>
        <w:top w:val="none" w:sz="0" w:space="0" w:color="auto"/>
        <w:left w:val="none" w:sz="0" w:space="0" w:color="auto"/>
        <w:bottom w:val="none" w:sz="0" w:space="0" w:color="auto"/>
        <w:right w:val="none" w:sz="0" w:space="0" w:color="auto"/>
      </w:divBdr>
    </w:div>
    <w:div w:id="2074115901">
      <w:bodyDiv w:val="1"/>
      <w:marLeft w:val="0"/>
      <w:marRight w:val="0"/>
      <w:marTop w:val="0"/>
      <w:marBottom w:val="0"/>
      <w:divBdr>
        <w:top w:val="none" w:sz="0" w:space="0" w:color="auto"/>
        <w:left w:val="none" w:sz="0" w:space="0" w:color="auto"/>
        <w:bottom w:val="none" w:sz="0" w:space="0" w:color="auto"/>
        <w:right w:val="none" w:sz="0" w:space="0" w:color="auto"/>
      </w:divBdr>
    </w:div>
    <w:div w:id="2082553652">
      <w:bodyDiv w:val="1"/>
      <w:marLeft w:val="0"/>
      <w:marRight w:val="0"/>
      <w:marTop w:val="0"/>
      <w:marBottom w:val="0"/>
      <w:divBdr>
        <w:top w:val="none" w:sz="0" w:space="0" w:color="auto"/>
        <w:left w:val="none" w:sz="0" w:space="0" w:color="auto"/>
        <w:bottom w:val="none" w:sz="0" w:space="0" w:color="auto"/>
        <w:right w:val="none" w:sz="0" w:space="0" w:color="auto"/>
      </w:divBdr>
    </w:div>
    <w:div w:id="213117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2247</Words>
  <Characters>12812</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APPRRR</Company>
  <LinksUpToDate>false</LinksUpToDate>
  <CharactersWithSpaces>15029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Irena Kruljac</dc:creator>
  <cp:keywords/>
  <dc:description/>
  <cp:lastModifiedBy>Manuela Skomeršić</cp:lastModifiedBy>
  <cp:revision>4</cp:revision>
  <dcterms:created xsi:type="dcterms:W3CDTF">2025-03-07T11:45:00Z</dcterms:created>
  <dcterms:modified xsi:type="dcterms:W3CDTF">2025-03-14T12:16:00Z</dcterms:modified>
</cp:coreProperties>
</file>